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CF97" w14:textId="490918B7"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747A03">
        <w:rPr>
          <w:rFonts w:cs="Arial"/>
          <w:b/>
          <w:sz w:val="22"/>
          <w:lang w:val="en-US"/>
        </w:rPr>
        <w:t>3</w:t>
      </w:r>
      <w:r w:rsidR="008D17D0" w:rsidRPr="00A16DF9">
        <w:rPr>
          <w:rFonts w:cs="Arial"/>
          <w:b/>
          <w:i/>
          <w:sz w:val="22"/>
          <w:lang w:val="en-US"/>
        </w:rPr>
        <w:tab/>
      </w:r>
      <w:r w:rsidR="005B3B9E">
        <w:rPr>
          <w:rFonts w:cs="Arial"/>
          <w:b/>
          <w:i/>
          <w:sz w:val="22"/>
          <w:lang w:val="en-US"/>
        </w:rPr>
        <w:t>R2-2</w:t>
      </w:r>
      <w:r w:rsidR="00826544">
        <w:rPr>
          <w:rFonts w:cs="Arial"/>
          <w:b/>
          <w:i/>
          <w:sz w:val="22"/>
          <w:lang w:val="en-US"/>
        </w:rPr>
        <w:t>3</w:t>
      </w:r>
      <w:r w:rsidR="00D87482">
        <w:rPr>
          <w:rFonts w:cs="Arial"/>
          <w:b/>
          <w:i/>
          <w:sz w:val="22"/>
          <w:lang w:val="en-US"/>
        </w:rPr>
        <w:t>07198</w:t>
      </w:r>
    </w:p>
    <w:p w14:paraId="2BC1BF61" w14:textId="60FA4681" w:rsidR="008D17D0" w:rsidRDefault="00747A03" w:rsidP="008D17D0">
      <w:pPr>
        <w:tabs>
          <w:tab w:val="left" w:pos="1701"/>
          <w:tab w:val="right" w:pos="9639"/>
        </w:tabs>
        <w:spacing w:after="0"/>
        <w:rPr>
          <w:rFonts w:cs="Arial"/>
          <w:b/>
          <w:color w:val="000000"/>
          <w:kern w:val="2"/>
          <w:sz w:val="24"/>
        </w:rPr>
      </w:pPr>
      <w:r>
        <w:rPr>
          <w:rFonts w:cs="Arial"/>
          <w:b/>
          <w:sz w:val="22"/>
          <w:szCs w:val="22"/>
          <w:lang w:val="en-US"/>
        </w:rPr>
        <w:t>Toulouse</w:t>
      </w:r>
      <w:r w:rsidR="00343D48">
        <w:rPr>
          <w:rFonts w:cs="Arial"/>
          <w:b/>
          <w:sz w:val="22"/>
          <w:szCs w:val="22"/>
          <w:lang w:val="en-US"/>
        </w:rPr>
        <w:t xml:space="preserve"> </w:t>
      </w:r>
      <w:r>
        <w:rPr>
          <w:rFonts w:cs="Arial"/>
          <w:b/>
          <w:sz w:val="22"/>
          <w:szCs w:val="22"/>
          <w:lang w:val="en-US"/>
        </w:rPr>
        <w:t>France</w:t>
      </w:r>
      <w:r w:rsidR="00343D48">
        <w:rPr>
          <w:rFonts w:cs="Arial"/>
          <w:b/>
          <w:sz w:val="22"/>
          <w:szCs w:val="22"/>
          <w:lang w:val="en-US"/>
        </w:rPr>
        <w:t xml:space="preserve"> </w:t>
      </w:r>
      <w:r>
        <w:rPr>
          <w:rFonts w:cs="Arial"/>
          <w:b/>
          <w:sz w:val="22"/>
          <w:szCs w:val="22"/>
          <w:lang w:val="en-US"/>
        </w:rPr>
        <w:t>August</w:t>
      </w:r>
      <w:r w:rsidR="00343D48">
        <w:rPr>
          <w:rFonts w:cs="Arial"/>
          <w:b/>
          <w:sz w:val="22"/>
          <w:szCs w:val="22"/>
          <w:lang w:val="en-US"/>
        </w:rPr>
        <w:t xml:space="preserve"> 2</w:t>
      </w:r>
      <w:r>
        <w:rPr>
          <w:rFonts w:cs="Arial"/>
          <w:b/>
          <w:sz w:val="22"/>
          <w:szCs w:val="22"/>
          <w:lang w:val="en-US"/>
        </w:rPr>
        <w:t>1</w:t>
      </w:r>
      <w:r w:rsidR="00343D48">
        <w:rPr>
          <w:rFonts w:cs="Arial"/>
          <w:b/>
          <w:sz w:val="22"/>
          <w:szCs w:val="22"/>
          <w:lang w:val="en-US"/>
        </w:rPr>
        <w:t>~2</w:t>
      </w:r>
      <w:r>
        <w:rPr>
          <w:rFonts w:cs="Arial"/>
          <w:b/>
          <w:sz w:val="22"/>
          <w:szCs w:val="22"/>
          <w:lang w:val="en-US"/>
        </w:rPr>
        <w:t>5</w:t>
      </w:r>
      <w:r w:rsidR="00343D48">
        <w:rPr>
          <w:rFonts w:cs="Arial"/>
          <w:b/>
          <w:sz w:val="22"/>
          <w:szCs w:val="22"/>
          <w:lang w:val="en-US"/>
        </w:rPr>
        <w:t xml:space="preserve"> 2023</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6D4D746" w:rsidR="008D17D0" w:rsidRDefault="008D17D0" w:rsidP="008D17D0">
      <w:pPr>
        <w:pStyle w:val="3GPPHeader"/>
        <w:rPr>
          <w:sz w:val="22"/>
          <w:szCs w:val="22"/>
        </w:rPr>
      </w:pPr>
      <w:r>
        <w:rPr>
          <w:sz w:val="22"/>
          <w:szCs w:val="22"/>
        </w:rPr>
        <w:t>Agenda Item:</w:t>
      </w:r>
      <w:r>
        <w:rPr>
          <w:sz w:val="22"/>
          <w:szCs w:val="22"/>
        </w:rPr>
        <w:tab/>
      </w:r>
      <w:r w:rsidR="0062383E">
        <w:rPr>
          <w:sz w:val="22"/>
          <w:szCs w:val="22"/>
        </w:rPr>
        <w:t>7.20.2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5A233DED" w:rsidR="008D17D0" w:rsidRDefault="008D17D0" w:rsidP="008D17D0">
      <w:pPr>
        <w:pStyle w:val="3GPPHeader"/>
        <w:rPr>
          <w:sz w:val="22"/>
          <w:szCs w:val="22"/>
        </w:rPr>
      </w:pPr>
      <w:r>
        <w:rPr>
          <w:sz w:val="22"/>
          <w:szCs w:val="22"/>
        </w:rPr>
        <w:t>Title:</w:t>
      </w:r>
      <w:r>
        <w:rPr>
          <w:sz w:val="22"/>
          <w:szCs w:val="22"/>
        </w:rPr>
        <w:tab/>
      </w:r>
      <w:r w:rsidR="0042549E" w:rsidRPr="0042549E">
        <w:rPr>
          <w:sz w:val="22"/>
          <w:szCs w:val="22"/>
        </w:rPr>
        <w:t xml:space="preserve">Discussion on </w:t>
      </w:r>
      <w:r w:rsidR="0023485B">
        <w:rPr>
          <w:sz w:val="22"/>
          <w:szCs w:val="22"/>
        </w:rPr>
        <w:t xml:space="preserve">multiple TAG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05B53BBB" w14:textId="30DC8B5F" w:rsidR="00564F93" w:rsidRDefault="008E0197" w:rsidP="008D17D0">
      <w:pPr>
        <w:pStyle w:val="a7"/>
        <w:spacing w:before="120"/>
      </w:pPr>
      <w:r>
        <w:t xml:space="preserve">At RAN2#122 meeting, </w:t>
      </w:r>
      <w:r w:rsidR="004B1D5B">
        <w:t xml:space="preserve">only </w:t>
      </w:r>
      <w:r w:rsidR="00766121">
        <w:t>following</w:t>
      </w:r>
      <w:r>
        <w:t xml:space="preserve"> agreement </w:t>
      </w:r>
      <w:r w:rsidR="004B1D5B">
        <w:t>was</w:t>
      </w:r>
      <w:r>
        <w:t xml:space="preserve"> made:</w:t>
      </w:r>
    </w:p>
    <w:p w14:paraId="11B9C95E" w14:textId="3C0C40E0" w:rsidR="008E0197" w:rsidRDefault="008E0197" w:rsidP="008D17D0">
      <w:pPr>
        <w:pStyle w:val="a7"/>
        <w:spacing w:before="120"/>
      </w:pPr>
      <w:r>
        <w:rPr>
          <w:noProof/>
        </w:rPr>
        <mc:AlternateContent>
          <mc:Choice Requires="wps">
            <w:drawing>
              <wp:inline distT="0" distB="0" distL="0" distR="0" wp14:anchorId="3D21AF09" wp14:editId="00D7C2A9">
                <wp:extent cx="5355478" cy="497394"/>
                <wp:effectExtent l="0" t="0" r="17145" b="17145"/>
                <wp:docPr id="3" name="文本框 3"/>
                <wp:cNvGraphicFramePr/>
                <a:graphic xmlns:a="http://schemas.openxmlformats.org/drawingml/2006/main">
                  <a:graphicData uri="http://schemas.microsoft.com/office/word/2010/wordprocessingShape">
                    <wps:wsp>
                      <wps:cNvSpPr txBox="1"/>
                      <wps:spPr>
                        <a:xfrm>
                          <a:off x="0" y="0"/>
                          <a:ext cx="5355478" cy="497394"/>
                        </a:xfrm>
                        <a:prstGeom prst="rect">
                          <a:avLst/>
                        </a:prstGeom>
                        <a:solidFill>
                          <a:schemeClr val="lt1"/>
                        </a:solidFill>
                        <a:ln w="6350">
                          <a:solidFill>
                            <a:prstClr val="black"/>
                          </a:solidFill>
                        </a:ln>
                      </wps:spPr>
                      <wps:txbx>
                        <w:txbxContent>
                          <w:p w14:paraId="30218604" w14:textId="429DC4B7" w:rsidR="008E0197" w:rsidRPr="008E0197" w:rsidRDefault="008E0197" w:rsidP="008E0197">
                            <w:pPr>
                              <w:pStyle w:val="Agreement"/>
                              <w:tabs>
                                <w:tab w:val="clear" w:pos="1619"/>
                                <w:tab w:val="num" w:pos="1276"/>
                              </w:tabs>
                              <w:ind w:left="709" w:hanging="283"/>
                              <w:rPr>
                                <w:lang w:eastAsia="zh-CN"/>
                              </w:rPr>
                            </w:pPr>
                            <w:r w:rsidRPr="00F738C4">
                              <w:rPr>
                                <w:lang w:eastAsia="zh-CN"/>
                              </w:rPr>
                              <w:t xml:space="preserve">Configure one TAT per TAG to support two TAs for a serving cell, i.e., in this case 2 TAGs are configured for the serving cell.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D21AF09" id="_x0000_t202" coordsize="21600,21600" o:spt="202" path="m,l,21600r21600,l21600,xe">
                <v:stroke joinstyle="miter"/>
                <v:path gradientshapeok="t" o:connecttype="rect"/>
              </v:shapetype>
              <v:shape id="文本框 3" o:spid="_x0000_s1026" type="#_x0000_t202" style="width:421.7pt;height:3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" fillcolor="white [3201]" strokeweight=".5pt">
                <v:textbox>
                  <w:txbxContent>
                    <w:p w14:paraId="30218604" w14:textId="429DC4B7" w:rsidR="008E0197" w:rsidRPr="008E0197" w:rsidRDefault="008E0197" w:rsidP="008E0197">
                      <w:pPr>
                        <w:pStyle w:val="Agreement"/>
                        <w:tabs>
                          <w:tab w:val="clear" w:pos="1619"/>
                          <w:tab w:val="num" w:pos="1276"/>
                        </w:tabs>
                        <w:ind w:left="709" w:hanging="283"/>
                        <w:rPr>
                          <w:lang w:eastAsia="zh-CN"/>
                        </w:rPr>
                      </w:pPr>
                      <w:r w:rsidRPr="00F738C4">
                        <w:rPr>
                          <w:lang w:eastAsia="zh-CN"/>
                        </w:rPr>
                        <w:t xml:space="preserve">Configure one TAT per TAG to support two TAs for a serving cell, i.e., in this case 2 TAGs are configured for the serving cell. </w:t>
                      </w:r>
                    </w:p>
                  </w:txbxContent>
                </v:textbox>
                <w10:anchorlock/>
              </v:shape>
            </w:pict>
          </mc:Fallback>
        </mc:AlternateContent>
      </w:r>
    </w:p>
    <w:p w14:paraId="1D7DF7B0" w14:textId="253DAB1F" w:rsidR="008E0197" w:rsidRDefault="008E0197" w:rsidP="008D17D0">
      <w:pPr>
        <w:pStyle w:val="a7"/>
        <w:spacing w:before="120"/>
      </w:pPr>
      <w:r>
        <w:t>RAN1 send LS [</w:t>
      </w:r>
      <w:r w:rsidR="004B1D5B">
        <w:t>2</w:t>
      </w:r>
      <w:r>
        <w:t>] to answer few RAN2’s question</w:t>
      </w:r>
      <w:r w:rsidR="004B1D5B">
        <w:t xml:space="preserve"> in [1]</w:t>
      </w:r>
      <w:r>
        <w:t>, but it turned out there is not so much progress. In addition RAN1 also send out few relevant parameters on eMIMO in [</w:t>
      </w:r>
      <w:r w:rsidR="004B1D5B">
        <w:t>3</w:t>
      </w:r>
      <w:r>
        <w:t>].</w:t>
      </w:r>
    </w:p>
    <w:p w14:paraId="750B0F4E" w14:textId="0985049F" w:rsidR="008E0197" w:rsidRDefault="008E0197" w:rsidP="008D17D0">
      <w:pPr>
        <w:pStyle w:val="a7"/>
        <w:spacing w:before="120"/>
      </w:pPr>
      <w:r>
        <w:t>RAN2 then had a long post email discussion to check the open issues but there is no consensus, especially on CBRA issues.</w:t>
      </w:r>
    </w:p>
    <w:p w14:paraId="43ED09A8" w14:textId="1D995BBC" w:rsidR="00D40785" w:rsidRDefault="00D40785" w:rsidP="00D40785">
      <w:pPr>
        <w:pStyle w:val="1"/>
      </w:pPr>
      <w:r>
        <w:rPr>
          <w:rFonts w:hint="eastAsia"/>
        </w:rPr>
        <w:t>D</w:t>
      </w:r>
      <w:r>
        <w:t>iscussion</w:t>
      </w:r>
    </w:p>
    <w:p w14:paraId="3492B0CC" w14:textId="39D7F801" w:rsidR="00392A49" w:rsidRDefault="00EE4DB7" w:rsidP="001F3F92">
      <w:r>
        <w:rPr>
          <w:rFonts w:hint="eastAsia"/>
        </w:rPr>
        <w:t>T</w:t>
      </w:r>
      <w:r>
        <w:t>he definition of TAG is as following in 38321:</w:t>
      </w:r>
    </w:p>
    <w:p w14:paraId="2D52191A" w14:textId="6620170C" w:rsidR="00EE4DB7" w:rsidRDefault="00EE4DB7" w:rsidP="00EE4DB7">
      <w:pPr>
        <w:pBdr>
          <w:top w:val="single" w:sz="4" w:space="1" w:color="auto"/>
          <w:left w:val="single" w:sz="4" w:space="0" w:color="auto"/>
          <w:bottom w:val="single" w:sz="4" w:space="1" w:color="auto"/>
          <w:right w:val="single" w:sz="4" w:space="4" w:color="auto"/>
        </w:pBdr>
      </w:pPr>
      <w:r>
        <w:rPr>
          <w:b/>
          <w:bCs/>
        </w:rPr>
        <w:t xml:space="preserve">Timing Advance Group: </w:t>
      </w:r>
      <w:r>
        <w:t>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78211593" w14:textId="217354E7" w:rsidR="00EE4DB7" w:rsidRDefault="00C413DB" w:rsidP="001F3F92">
      <w:r>
        <w:t>F</w:t>
      </w:r>
      <w:r w:rsidR="008E1E74">
        <w:t xml:space="preserve">ollowing RAN1 agreement in RAN1#110 indicate that one serving cell can </w:t>
      </w:r>
      <w:r>
        <w:t>have two TAs and support two TAGs.</w:t>
      </w:r>
    </w:p>
    <w:p w14:paraId="0869E35D" w14:textId="77777777" w:rsidR="008E1E74" w:rsidRPr="00EC249A" w:rsidRDefault="008E1E74" w:rsidP="00C413DB">
      <w:pPr>
        <w:pBdr>
          <w:top w:val="single" w:sz="4" w:space="1" w:color="auto"/>
          <w:left w:val="single" w:sz="4" w:space="0" w:color="auto"/>
          <w:bottom w:val="single" w:sz="4" w:space="1" w:color="auto"/>
          <w:right w:val="single" w:sz="4" w:space="4" w:color="auto"/>
        </w:pBdr>
        <w:rPr>
          <w:rFonts w:ascii="Times New Roman" w:hAnsi="Times New Roman"/>
          <w:b/>
          <w:bCs/>
          <w:highlight w:val="green"/>
        </w:rPr>
      </w:pPr>
      <w:r w:rsidRPr="00EC249A">
        <w:rPr>
          <w:rFonts w:ascii="Times New Roman" w:hAnsi="Times New Roman"/>
          <w:b/>
          <w:bCs/>
          <w:highlight w:val="green"/>
        </w:rPr>
        <w:t>Agreement</w:t>
      </w:r>
    </w:p>
    <w:p w14:paraId="61440A60" w14:textId="77777777" w:rsidR="008E1E74" w:rsidRDefault="008E1E74" w:rsidP="00C413DB">
      <w:pPr>
        <w:pBdr>
          <w:top w:val="single" w:sz="4" w:space="1" w:color="auto"/>
          <w:left w:val="single" w:sz="4" w:space="0" w:color="auto"/>
          <w:bottom w:val="single" w:sz="4" w:space="1" w:color="auto"/>
          <w:right w:val="single" w:sz="4" w:space="4" w:color="auto"/>
        </w:pBdr>
        <w:rPr>
          <w:b/>
          <w:bCs/>
          <w:highlight w:val="cyan"/>
          <w:lang w:val="en-US"/>
        </w:rPr>
      </w:pPr>
      <w:r w:rsidRPr="00EC249A">
        <w:rPr>
          <w:rFonts w:ascii="Times New Roman" w:hAnsi="Times New Roman"/>
        </w:rPr>
        <w:t>For multi-DCI based multi-TRP operation with two TAs, support configuring two TAGs belonging to a serving cell.</w:t>
      </w:r>
    </w:p>
    <w:p w14:paraId="35984091" w14:textId="743F88A4" w:rsidR="008E1E74" w:rsidRDefault="00C413DB" w:rsidP="001F3F92">
      <w:pPr>
        <w:rPr>
          <w:lang w:val="en-US"/>
        </w:rPr>
      </w:pPr>
      <w:r>
        <w:rPr>
          <w:lang w:val="en-US"/>
        </w:rPr>
        <w:t xml:space="preserve">Current definition of TAG doesn’t say that one serving cell </w:t>
      </w:r>
      <w:r w:rsidR="003E6FA7">
        <w:rPr>
          <w:lang w:val="en-US"/>
        </w:rPr>
        <w:t>can only belong to one TAG explicitly. But till now this is the de facto since one serving cell can only have one TA. If the TAG definition is kept as it is, it means one serving cell can belong to two TAGs, which is different from legacy definition technically.</w:t>
      </w:r>
    </w:p>
    <w:p w14:paraId="79FECA06" w14:textId="0E4C2123" w:rsidR="00C413DB" w:rsidRDefault="001D0615" w:rsidP="001F3F92">
      <w:pPr>
        <w:rPr>
          <w:lang w:val="en-US"/>
        </w:rPr>
      </w:pPr>
      <w:r>
        <w:rPr>
          <w:lang w:val="en-US"/>
        </w:rPr>
        <w:t>One</w:t>
      </w:r>
      <w:r w:rsidR="00DF222F">
        <w:rPr>
          <w:lang w:val="en-US"/>
        </w:rPr>
        <w:t xml:space="preserve"> modelling issue</w:t>
      </w:r>
      <w:r w:rsidR="004275C4">
        <w:rPr>
          <w:lang w:val="en-US"/>
        </w:rPr>
        <w:t xml:space="preserve"> </w:t>
      </w:r>
      <w:r w:rsidR="00DF222F">
        <w:rPr>
          <w:lang w:val="en-US"/>
        </w:rPr>
        <w:t xml:space="preserve">is </w:t>
      </w:r>
      <w:r w:rsidR="002D35D9">
        <w:rPr>
          <w:lang w:val="en-US"/>
        </w:rPr>
        <w:t>that</w:t>
      </w:r>
      <w:r w:rsidR="004275C4">
        <w:rPr>
          <w:lang w:val="en-US"/>
        </w:rPr>
        <w:t>,</w:t>
      </w:r>
      <w:r w:rsidR="002D35D9">
        <w:rPr>
          <w:lang w:val="en-US"/>
        </w:rPr>
        <w:t xml:space="preserve"> can the TAG </w:t>
      </w:r>
      <w:r w:rsidR="00E77559">
        <w:rPr>
          <w:lang w:val="en-US"/>
        </w:rPr>
        <w:t>of additional</w:t>
      </w:r>
      <w:r w:rsidR="002D35D9">
        <w:rPr>
          <w:lang w:val="en-US"/>
        </w:rPr>
        <w:t xml:space="preserve"> TRP</w:t>
      </w:r>
      <w:r w:rsidR="00E77559">
        <w:rPr>
          <w:lang w:val="en-US"/>
        </w:rPr>
        <w:t xml:space="preserve"> of the serving cell</w:t>
      </w:r>
      <w:r w:rsidR="009D0BB7">
        <w:rPr>
          <w:lang w:val="en-US"/>
        </w:rPr>
        <w:t>s</w:t>
      </w:r>
      <w:r w:rsidR="00E77559">
        <w:rPr>
          <w:lang w:val="en-US"/>
        </w:rPr>
        <w:t xml:space="preserve"> belonging to same TAG originally</w:t>
      </w:r>
      <w:r w:rsidR="002D35D9">
        <w:rPr>
          <w:lang w:val="en-US"/>
        </w:rPr>
        <w:t xml:space="preserve"> </w:t>
      </w:r>
      <w:r w:rsidR="00E77559">
        <w:rPr>
          <w:lang w:val="en-US"/>
        </w:rPr>
        <w:t>be grouped together</w:t>
      </w:r>
      <w:r w:rsidR="002D35D9">
        <w:rPr>
          <w:lang w:val="en-US"/>
        </w:rPr>
        <w:t>?</w:t>
      </w:r>
      <w:r>
        <w:rPr>
          <w:lang w:val="en-US"/>
        </w:rPr>
        <w:t xml:space="preserve"> </w:t>
      </w:r>
    </w:p>
    <w:p w14:paraId="28D3027D" w14:textId="3727ED37" w:rsidR="002D35D9" w:rsidRDefault="00FB3DA3" w:rsidP="001A0C3E">
      <w:pPr>
        <w:jc w:val="center"/>
      </w:pPr>
      <w:r>
        <w:object w:dxaOrig="11953" w:dyaOrig="4706" w14:anchorId="44295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pt;height:96.3pt" o:ole="">
            <v:imagedata r:id="rId7" o:title=""/>
          </v:shape>
          <o:OLEObject Type="Embed" ProgID="Visio.Drawing.15" ShapeID="_x0000_i1025" DrawAspect="Content" ObjectID="_1753096131" r:id="rId8"/>
        </w:object>
      </w:r>
    </w:p>
    <w:p w14:paraId="45525259" w14:textId="2EC983D8" w:rsidR="005567E8" w:rsidRDefault="005567E8" w:rsidP="001A0C3E">
      <w:pPr>
        <w:jc w:val="center"/>
        <w:rPr>
          <w:lang w:val="en-US"/>
        </w:rPr>
      </w:pPr>
      <w:r>
        <w:rPr>
          <w:rFonts w:hint="eastAsia"/>
          <w:lang w:val="en-US"/>
        </w:rPr>
        <w:t>F</w:t>
      </w:r>
      <w:r>
        <w:rPr>
          <w:lang w:val="en-US"/>
        </w:rPr>
        <w:t>igure 1</w:t>
      </w:r>
    </w:p>
    <w:p w14:paraId="03D3BCF4" w14:textId="2F23E9D7" w:rsidR="001A0C3E" w:rsidRDefault="00FB3DA3" w:rsidP="001A0C3E">
      <w:pPr>
        <w:jc w:val="center"/>
      </w:pPr>
      <w:r>
        <w:object w:dxaOrig="11953" w:dyaOrig="4201" w14:anchorId="1DC3575A">
          <v:shape id="_x0000_i1026" type="#_x0000_t75" style="width:246.4pt;height:85.55pt" o:ole="">
            <v:imagedata r:id="rId9" o:title=""/>
          </v:shape>
          <o:OLEObject Type="Embed" ProgID="Visio.Drawing.15" ShapeID="_x0000_i1026" DrawAspect="Content" ObjectID="_1753096132" r:id="rId10"/>
        </w:object>
      </w:r>
    </w:p>
    <w:p w14:paraId="3F1D7661" w14:textId="6076BCF9" w:rsidR="001A0C3E" w:rsidRPr="00622E9C" w:rsidRDefault="001A0C3E" w:rsidP="001A0C3E">
      <w:pPr>
        <w:jc w:val="center"/>
        <w:rPr>
          <w:lang w:val="en-US"/>
        </w:rPr>
      </w:pPr>
      <w:r>
        <w:rPr>
          <w:rFonts w:hint="eastAsia"/>
          <w:lang w:val="en-US"/>
        </w:rPr>
        <w:t>F</w:t>
      </w:r>
      <w:r>
        <w:rPr>
          <w:lang w:val="en-US"/>
        </w:rPr>
        <w:t>igure 2</w:t>
      </w:r>
    </w:p>
    <w:p w14:paraId="1BFA3583" w14:textId="7FCC00A9" w:rsidR="001D0615" w:rsidRDefault="001A2045" w:rsidP="001F3F92">
      <w:r>
        <w:t>Taking two serving cells as example, t</w:t>
      </w:r>
      <w:r w:rsidR="001D0615">
        <w:t>he 1</w:t>
      </w:r>
      <w:r w:rsidR="001D0615" w:rsidRPr="001D0615">
        <w:rPr>
          <w:vertAlign w:val="superscript"/>
        </w:rPr>
        <w:t>st</w:t>
      </w:r>
      <w:r w:rsidR="001D0615">
        <w:t xml:space="preserve"> </w:t>
      </w:r>
      <w:r>
        <w:t>alternative</w:t>
      </w:r>
      <w:r w:rsidR="00D53C45">
        <w:t xml:space="preserve"> could be</w:t>
      </w:r>
      <w:r w:rsidR="000911BD">
        <w:t xml:space="preserve"> that there are two TAGs for all serving cells as indicated in Figure 1. For example cell A and cell B belongs to same TAG</w:t>
      </w:r>
      <w:r w:rsidR="00E16A6A">
        <w:t xml:space="preserve"> originally</w:t>
      </w:r>
      <w:r w:rsidR="000911BD">
        <w:t xml:space="preserve">. When another TAG is introduced for both cell A and cell B, the TAG id of the </w:t>
      </w:r>
      <w:r w:rsidR="000911BD" w:rsidRPr="001A2045">
        <w:t>new TAG</w:t>
      </w:r>
      <w:r w:rsidR="000911BD">
        <w:t xml:space="preserve"> </w:t>
      </w:r>
      <w:r w:rsidR="00874C1F">
        <w:t>is</w:t>
      </w:r>
      <w:r w:rsidR="000911BD">
        <w:t xml:space="preserve"> the same. Another way is that more than one new TAGs can be configured as indicated in Figure 2. If configuration as indicated in Figure 2 is allowed, then more TAGs will be introduced and UE need to maintain the same number of TA value as the number of TAGs. </w:t>
      </w:r>
      <w:r w:rsidR="00C55140">
        <w:t>More than one TAGs also means more timing reference</w:t>
      </w:r>
      <w:r w:rsidR="00E16A6A">
        <w:t>s</w:t>
      </w:r>
      <w:r w:rsidR="00C55140">
        <w:t>. But it is more natural the same timing reference (or timing reference with small difference) can be reused</w:t>
      </w:r>
      <w:r w:rsidR="00E16A6A">
        <w:t xml:space="preserve"> for the same group of serving cells</w:t>
      </w:r>
      <w:r w:rsidR="00C55140">
        <w:t>.</w:t>
      </w:r>
      <w:r w:rsidR="009D457C">
        <w:t xml:space="preserve"> On the other hand the restriction posted by Figure 1 seems too much, especially when the number of serving cells are not so large.</w:t>
      </w:r>
      <w:r>
        <w:t xml:space="preserve"> In Figure 2, as long as the number of serving cells are no more than 3, the total number of TAGs would be no more than 4. Otherwise TAG ID need be extended, which cause extra complexity for UE.</w:t>
      </w:r>
    </w:p>
    <w:p w14:paraId="1F89B3AF" w14:textId="4566B31D" w:rsidR="00E333FE" w:rsidRDefault="009D457C" w:rsidP="009D457C">
      <w:r>
        <w:rPr>
          <w:rFonts w:hint="eastAsia"/>
        </w:rPr>
        <w:t>O</w:t>
      </w:r>
      <w:r>
        <w:t>ne solution in the middle is that</w:t>
      </w:r>
      <w:r w:rsidR="00B81516">
        <w:t xml:space="preserve"> no configuration restriction is introduced except total number of </w:t>
      </w:r>
      <w:r w:rsidR="00D96924">
        <w:t>TAGs per cell group is up to 4.</w:t>
      </w:r>
      <w:r w:rsidR="00874C1F">
        <w:t xml:space="preserve"> In this way UE’s complexity can be kept as low as possible while still some configuration flexibility is still available. Considering in real deployment the number of serving cell will not be very high, this could be a comprised way forward.</w:t>
      </w:r>
    </w:p>
    <w:p w14:paraId="0FF23448" w14:textId="379A0BD9" w:rsidR="005B62CB" w:rsidRDefault="005B62CB" w:rsidP="009D457C">
      <w:r>
        <w:rPr>
          <w:rFonts w:hint="eastAsia"/>
        </w:rPr>
        <w:t>D</w:t>
      </w:r>
      <w:r>
        <w:t xml:space="preserve">uring post email discussion [Post122][852] it is clear no restriction is preferred by </w:t>
      </w:r>
      <w:r w:rsidR="00CA70FA">
        <w:rPr>
          <w:rFonts w:hint="eastAsia"/>
        </w:rPr>
        <w:t>all</w:t>
      </w:r>
      <w:r w:rsidR="00CA70FA">
        <w:t xml:space="preserve"> </w:t>
      </w:r>
      <w:r>
        <w:t>compan</w:t>
      </w:r>
      <w:r w:rsidR="00CA70FA">
        <w:t>ies but one</w:t>
      </w:r>
      <w:r>
        <w:t>. Although RAN2 ask the maximum number of TAGs to RAN1, now we intend to think this is actually a RAN2 issue i.e. RAN2 can make decision and we think up to 4 TAGs per cell group should be sufficient.</w:t>
      </w:r>
    </w:p>
    <w:p w14:paraId="3EA822CC" w14:textId="319BB048" w:rsidR="00734AD6" w:rsidRPr="0027009A" w:rsidRDefault="00A23F52" w:rsidP="001F3F92">
      <w:pPr>
        <w:rPr>
          <w:b/>
        </w:rPr>
      </w:pPr>
      <w:r w:rsidRPr="0008443B">
        <w:rPr>
          <w:b/>
        </w:rPr>
        <w:t>Proposal 1:</w:t>
      </w:r>
      <w:r w:rsidR="00D96924">
        <w:rPr>
          <w:b/>
        </w:rPr>
        <w:t xml:space="preserve"> No configuration restriction is introduced for additional TAGs except that maximum number of TAGs per cell group </w:t>
      </w:r>
      <w:r w:rsidR="00C41006">
        <w:rPr>
          <w:b/>
        </w:rPr>
        <w:t>is</w:t>
      </w:r>
      <w:r w:rsidR="00D96924">
        <w:rPr>
          <w:b/>
        </w:rPr>
        <w:t xml:space="preserve"> 4.</w:t>
      </w:r>
    </w:p>
    <w:p w14:paraId="0670C1CC" w14:textId="65D4D535" w:rsidR="00A157D8" w:rsidRDefault="00F67122" w:rsidP="001F3F92">
      <w:r>
        <w:t>Here is the answer from RAN1 w.r.t. UE’s behaviour when TAT timer one TAG or both TAGs expires:</w:t>
      </w:r>
    </w:p>
    <w:p w14:paraId="31045288" w14:textId="02A50F8D" w:rsidR="00F67122" w:rsidRDefault="00F67122" w:rsidP="00100C09">
      <w:pPr>
        <w:jc w:val="center"/>
      </w:pPr>
      <w:r>
        <w:rPr>
          <w:rFonts w:hint="eastAsia"/>
          <w:noProof/>
        </w:rPr>
        <mc:AlternateContent>
          <mc:Choice Requires="wps">
            <w:drawing>
              <wp:inline distT="0" distB="0" distL="0" distR="0" wp14:anchorId="5C1D35FC" wp14:editId="318CD3C6">
                <wp:extent cx="5189974" cy="1999622"/>
                <wp:effectExtent l="0" t="0" r="10795" b="19685"/>
                <wp:docPr id="5" name="文本框 5"/>
                <wp:cNvGraphicFramePr/>
                <a:graphic xmlns:a="http://schemas.openxmlformats.org/drawingml/2006/main">
                  <a:graphicData uri="http://schemas.microsoft.com/office/word/2010/wordprocessingShape">
                    <wps:wsp>
                      <wps:cNvSpPr txBox="1"/>
                      <wps:spPr>
                        <a:xfrm>
                          <a:off x="0" y="0"/>
                          <a:ext cx="5189974" cy="1999622"/>
                        </a:xfrm>
                        <a:prstGeom prst="rect">
                          <a:avLst/>
                        </a:prstGeom>
                        <a:solidFill>
                          <a:schemeClr val="lt1"/>
                        </a:solidFill>
                        <a:ln w="6350">
                          <a:solidFill>
                            <a:prstClr val="black"/>
                          </a:solidFill>
                        </a:ln>
                      </wps:spPr>
                      <wps:txbx>
                        <w:txbxContent>
                          <w:p w14:paraId="5950E891" w14:textId="77777777" w:rsidR="00F67122" w:rsidRPr="00BB06AB" w:rsidRDefault="00F67122" w:rsidP="00F67122">
                            <w:pPr>
                              <w:rPr>
                                <w:rFonts w:cs="Arial"/>
                                <w:b/>
                                <w:bCs/>
                              </w:rPr>
                            </w:pPr>
                            <w:r w:rsidRPr="00BB06AB">
                              <w:rPr>
                                <w:rFonts w:cs="Arial"/>
                                <w:b/>
                                <w:bCs/>
                              </w:rPr>
                              <w:t>Question 2 on operation</w:t>
                            </w:r>
                          </w:p>
                          <w:p w14:paraId="0FF6DA58" w14:textId="77777777" w:rsidR="00F67122" w:rsidRPr="00BB06AB" w:rsidRDefault="00F67122" w:rsidP="00F67122">
                            <w:pPr>
                              <w:rPr>
                                <w:rFonts w:cs="Arial"/>
                              </w:rPr>
                            </w:pPr>
                            <w:r w:rsidRPr="00BB06AB">
                              <w:rPr>
                                <w:rFonts w:cs="Arial"/>
                                <w:b/>
                                <w:bCs/>
                              </w:rPr>
                              <w:t xml:space="preserve">Q2: </w:t>
                            </w:r>
                            <w:r w:rsidRPr="00BB06AB">
                              <w:rPr>
                                <w:rFonts w:cs="Arial"/>
                              </w:rPr>
                              <w:t>When the time-alignment timer associated with one of the TRPs of a serving cell expires, are certain UL or DL operation only impacted towards that TRP while they are not impacted towards the another TRP? If so, which UL or DL operation?</w:t>
                            </w:r>
                          </w:p>
                          <w:p w14:paraId="0C232961" w14:textId="77777777" w:rsidR="00F67122" w:rsidRPr="008966B2" w:rsidRDefault="00F67122" w:rsidP="00F67122">
                            <w:pPr>
                              <w:pStyle w:val="bodytext"/>
                              <w:spacing w:after="0" w:afterAutospacing="0"/>
                              <w:rPr>
                                <w:rFonts w:ascii="Arial" w:hAnsi="Arial" w:cs="Arial"/>
                              </w:rPr>
                            </w:pPr>
                            <w:r w:rsidRPr="00EA0BC9">
                              <w:rPr>
                                <w:b/>
                                <w:bCs/>
                              </w:rPr>
                              <w:t>Answer:</w:t>
                            </w:r>
                            <w:r>
                              <w:t xml:space="preserve"> </w:t>
                            </w:r>
                            <w:r w:rsidRPr="008966B2">
                              <w:rPr>
                                <w:rFonts w:ascii="Arial" w:eastAsia="Times New Roman" w:hAnsi="Arial" w:cs="Arial"/>
                                <w:i/>
                                <w:iCs/>
                                <w:sz w:val="20"/>
                                <w:szCs w:val="20"/>
                                <w:lang w:val="en-GB" w:eastAsia="x-none"/>
                              </w:rPr>
                              <w:t>RAN1 confirms that when the TA timer associated to one TRP expires for a TAG associated with a TCI state, UL or DL operation associated to the another TRP is not impacted. This further depends on PTAG/STAG definition, which is up to RAN2 to decide.</w:t>
                            </w:r>
                          </w:p>
                          <w:p w14:paraId="3BF725B0" w14:textId="77777777" w:rsidR="00F67122" w:rsidRPr="008966B2" w:rsidRDefault="00F67122" w:rsidP="00F67122">
                            <w:pPr>
                              <w:pStyle w:val="a7"/>
                            </w:pPr>
                          </w:p>
                          <w:p w14:paraId="4E8D0D7A" w14:textId="136D944D" w:rsidR="00F67122" w:rsidRDefault="00F67122" w:rsidP="00F67122">
                            <w:r w:rsidRPr="008966B2">
                              <w:rPr>
                                <w:rFonts w:eastAsia="Times New Roman" w:cs="Arial"/>
                                <w:i/>
                                <w:iCs/>
                                <w:lang w:eastAsia="x-none"/>
                              </w:rPr>
                              <w:t>Which UL or DL operation is impacted have not been discussed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1D35FC" id="文本框 5" o:spid="_x0000_s1027" type="#_x0000_t202" style="width:408.65pt;height:15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" fillcolor="white [3201]" strokeweight=".5pt">
                <v:textbox>
                  <w:txbxContent>
                    <w:p w14:paraId="5950E891" w14:textId="77777777" w:rsidR="00F67122" w:rsidRPr="00BB06AB" w:rsidRDefault="00F67122" w:rsidP="00F67122">
                      <w:pPr>
                        <w:rPr>
                          <w:rFonts w:cs="Arial"/>
                          <w:b/>
                          <w:bCs/>
                        </w:rPr>
                      </w:pPr>
                      <w:r w:rsidRPr="00BB06AB">
                        <w:rPr>
                          <w:rFonts w:cs="Arial"/>
                          <w:b/>
                          <w:bCs/>
                        </w:rPr>
                        <w:t>Question 2 on operation</w:t>
                      </w:r>
                    </w:p>
                    <w:p w14:paraId="0FF6DA58" w14:textId="77777777" w:rsidR="00F67122" w:rsidRPr="00BB06AB" w:rsidRDefault="00F67122" w:rsidP="00F67122">
                      <w:pPr>
                        <w:rPr>
                          <w:rFonts w:cs="Arial"/>
                        </w:rPr>
                      </w:pPr>
                      <w:r w:rsidRPr="00BB06AB">
                        <w:rPr>
                          <w:rFonts w:cs="Arial"/>
                          <w:b/>
                          <w:bCs/>
                        </w:rPr>
                        <w:t xml:space="preserve">Q2: </w:t>
                      </w:r>
                      <w:r w:rsidRPr="00BB06AB">
                        <w:rPr>
                          <w:rFonts w:cs="Arial"/>
                        </w:rPr>
                        <w:t>When the time-alignment timer associated with one of the TRPs of a serving cell expires, are certain UL or DL operation only impacted towards that TRP while they are not impacted towards the another TRP? If so, which UL or DL operation?</w:t>
                      </w:r>
                    </w:p>
                    <w:p w14:paraId="0C232961" w14:textId="77777777" w:rsidR="00F67122" w:rsidRPr="008966B2" w:rsidRDefault="00F67122" w:rsidP="00F67122">
                      <w:pPr>
                        <w:pStyle w:val="bodytext"/>
                        <w:spacing w:after="0" w:afterAutospacing="0"/>
                        <w:rPr>
                          <w:rFonts w:ascii="Arial" w:hAnsi="Arial" w:cs="Arial"/>
                        </w:rPr>
                      </w:pPr>
                      <w:r w:rsidRPr="00EA0BC9">
                        <w:rPr>
                          <w:b/>
                          <w:bCs/>
                        </w:rPr>
                        <w:t>Answer:</w:t>
                      </w:r>
                      <w:r>
                        <w:t xml:space="preserve"> </w:t>
                      </w:r>
                      <w:r w:rsidRPr="008966B2">
                        <w:rPr>
                          <w:rFonts w:ascii="Arial" w:eastAsia="Times New Roman" w:hAnsi="Arial" w:cs="Arial"/>
                          <w:i/>
                          <w:iCs/>
                          <w:sz w:val="20"/>
                          <w:szCs w:val="20"/>
                          <w:lang w:val="en-GB" w:eastAsia="x-none"/>
                        </w:rPr>
                        <w:t>RAN1 confirms that when the TA timer associated to one TRP expires for a TAG associated with a TCI state, UL or DL operation associated to the another TRP is not impacted. This further depends on PTAG/STAG definition, which is up to RAN2 to decide.</w:t>
                      </w:r>
                    </w:p>
                    <w:p w14:paraId="3BF725B0" w14:textId="77777777" w:rsidR="00F67122" w:rsidRPr="008966B2" w:rsidRDefault="00F67122" w:rsidP="00F67122">
                      <w:pPr>
                        <w:pStyle w:val="a7"/>
                      </w:pPr>
                    </w:p>
                    <w:p w14:paraId="4E8D0D7A" w14:textId="136D944D" w:rsidR="00F67122" w:rsidRDefault="00F67122" w:rsidP="00F67122">
                      <w:r w:rsidRPr="008966B2">
                        <w:rPr>
                          <w:rFonts w:eastAsia="Times New Roman" w:cs="Arial"/>
                          <w:i/>
                          <w:iCs/>
                          <w:lang w:eastAsia="x-none"/>
                        </w:rPr>
                        <w:t>Which UL or DL operation is impacted have not been discussed in RAN1.</w:t>
                      </w:r>
                    </w:p>
                  </w:txbxContent>
                </v:textbox>
                <w10:anchorlock/>
              </v:shape>
            </w:pict>
          </mc:Fallback>
        </mc:AlternateContent>
      </w:r>
    </w:p>
    <w:p w14:paraId="0C6C6D8D" w14:textId="0C54D5B9" w:rsidR="00100C09" w:rsidRDefault="00100C09" w:rsidP="00100C09">
      <w:pPr>
        <w:jc w:val="center"/>
      </w:pPr>
      <w:r>
        <w:t>Table 1</w:t>
      </w:r>
    </w:p>
    <w:p w14:paraId="68A73E19" w14:textId="4BD6D9C0" w:rsidR="00E5316C" w:rsidRPr="00DC6411" w:rsidRDefault="00F67122" w:rsidP="001F3F92">
      <w:r>
        <w:t xml:space="preserve">Our understanding </w:t>
      </w:r>
      <w:r w:rsidR="00DD2CB9">
        <w:t xml:space="preserve">is that </w:t>
      </w:r>
      <w:r>
        <w:t xml:space="preserve">legacy UE’s behaviour is applied for the concerned serving cell when TAT of </w:t>
      </w:r>
      <w:r w:rsidR="00DD2CB9">
        <w:t xml:space="preserve">its </w:t>
      </w:r>
      <w:r>
        <w:t xml:space="preserve">both TAGs expires. If TAT timer of only one TAG expires, then UL and/or DL operation relevant to the concerned TRP and TAG is applied, which is FFS now in RAN1. Since most likely serving cells belonging to same TAG may be configured with other TAG, which could be different, </w:t>
      </w:r>
      <w:r w:rsidR="00DD2CB9">
        <w:t xml:space="preserve">MAC spec may still need be updated. Based on the post email discussion, it seems easily to be agreed </w:t>
      </w:r>
      <w:r w:rsidR="00DC6411">
        <w:t xml:space="preserve">firstly </w:t>
      </w:r>
      <w:r w:rsidR="00DD2CB9">
        <w:t>for STAG.</w:t>
      </w:r>
    </w:p>
    <w:p w14:paraId="4A77CC13" w14:textId="51B66878" w:rsidR="0008443B" w:rsidRDefault="0008443B" w:rsidP="001F3F92">
      <w:pPr>
        <w:rPr>
          <w:b/>
        </w:rPr>
      </w:pPr>
      <w:r w:rsidRPr="00A928D5">
        <w:rPr>
          <w:b/>
        </w:rPr>
        <w:t xml:space="preserve">Proposal </w:t>
      </w:r>
      <w:r w:rsidR="00DD2CB9">
        <w:rPr>
          <w:b/>
        </w:rPr>
        <w:t>2</w:t>
      </w:r>
      <w:r w:rsidRPr="00A928D5">
        <w:rPr>
          <w:b/>
        </w:rPr>
        <w:t xml:space="preserve">: </w:t>
      </w:r>
      <w:r w:rsidR="00DD2CB9">
        <w:rPr>
          <w:b/>
        </w:rPr>
        <w:t>When TAT timer of</w:t>
      </w:r>
      <w:r w:rsidRPr="00A928D5">
        <w:rPr>
          <w:b/>
        </w:rPr>
        <w:t xml:space="preserve"> both </w:t>
      </w:r>
      <w:r w:rsidR="00DD2CB9">
        <w:rPr>
          <w:b/>
        </w:rPr>
        <w:t>S</w:t>
      </w:r>
      <w:r w:rsidRPr="00A928D5">
        <w:rPr>
          <w:b/>
        </w:rPr>
        <w:t xml:space="preserve">TAGs </w:t>
      </w:r>
      <w:r w:rsidR="00DD2CB9">
        <w:rPr>
          <w:b/>
        </w:rPr>
        <w:t>of a serving cell expires</w:t>
      </w:r>
      <w:r w:rsidRPr="00A928D5">
        <w:rPr>
          <w:b/>
        </w:rPr>
        <w:t>, legacy procedure applies</w:t>
      </w:r>
    </w:p>
    <w:p w14:paraId="14F37D08" w14:textId="1886CCD1" w:rsidR="00DD2CB9" w:rsidRPr="00DD2CB9" w:rsidRDefault="00DD2CB9" w:rsidP="001F3F92">
      <w:pPr>
        <w:rPr>
          <w:b/>
        </w:rPr>
      </w:pPr>
      <w:r>
        <w:rPr>
          <w:b/>
        </w:rPr>
        <w:t>P</w:t>
      </w:r>
      <w:r w:rsidR="00F6124D">
        <w:rPr>
          <w:b/>
        </w:rPr>
        <w:t>ro</w:t>
      </w:r>
      <w:r>
        <w:rPr>
          <w:b/>
        </w:rPr>
        <w:t xml:space="preserve">posal 3: When TAT timer of one of the two </w:t>
      </w:r>
      <w:r w:rsidR="00B91D1A">
        <w:rPr>
          <w:b/>
        </w:rPr>
        <w:t>S</w:t>
      </w:r>
      <w:r>
        <w:rPr>
          <w:b/>
        </w:rPr>
        <w:t>TAGs of a serving cell expires, UL and/or DL operation relevant to the concerned TRP and STAG is applied, which is FFS.</w:t>
      </w:r>
    </w:p>
    <w:p w14:paraId="648D8826" w14:textId="50D34EF2" w:rsidR="00A928D5" w:rsidRDefault="00C55140" w:rsidP="001F3F92">
      <w:r>
        <w:t xml:space="preserve">The term with “primary” usually implies that there is only one is configured per MAC entity e.g. </w:t>
      </w:r>
      <w:r w:rsidR="00A75FB7">
        <w:t>P</w:t>
      </w:r>
      <w:r>
        <w:t xml:space="preserve">SCell and PTAG. </w:t>
      </w:r>
      <w:r w:rsidR="00EF3713">
        <w:t xml:space="preserve">If another TAG is configured for </w:t>
      </w:r>
      <w:r w:rsidR="00A75FB7">
        <w:t>PSCell</w:t>
      </w:r>
      <w:r w:rsidR="00EF3713">
        <w:t xml:space="preserve">, is the new TAG still a PTAG? </w:t>
      </w:r>
      <w:r w:rsidR="00A928D5">
        <w:t>If the answer is “No”, it implies the new TAG is STAG. The problem of such modelling is that when PTAG is out of synchronization but STAG doesn’t, the legacy procedure will enforce TAT timer of all STAG expire</w:t>
      </w:r>
      <w:r w:rsidR="00780160">
        <w:t xml:space="preserve"> including the STAG of the same serving </w:t>
      </w:r>
      <w:r w:rsidR="00780160">
        <w:lastRenderedPageBreak/>
        <w:t>cell and hence no any uplink transmission is possible including preamble transmission</w:t>
      </w:r>
      <w:r w:rsidR="00A928D5">
        <w:t xml:space="preserve">. </w:t>
      </w:r>
      <w:r w:rsidR="008B5AAB">
        <w:t xml:space="preserve">This is however unnecessary since the </w:t>
      </w:r>
      <w:r w:rsidR="00780160">
        <w:t xml:space="preserve">another </w:t>
      </w:r>
      <w:r w:rsidR="008B5AAB">
        <w:t>TAG</w:t>
      </w:r>
      <w:r w:rsidR="00780160">
        <w:t xml:space="preserve"> of the SpCell</w:t>
      </w:r>
      <w:r w:rsidR="008B5AAB">
        <w:t xml:space="preserve"> can still work.</w:t>
      </w:r>
      <w:r w:rsidR="00224997">
        <w:t xml:space="preserve"> At last RAN2#122 meeting some company suggest to keep only one PTAG for the TRP which can be associated with type1 CSS. It is not clear why the associated type1 CS</w:t>
      </w:r>
      <w:r w:rsidR="00224997">
        <w:rPr>
          <w:rFonts w:hint="eastAsia"/>
        </w:rPr>
        <w:t>S</w:t>
      </w:r>
      <w:r w:rsidR="00224997">
        <w:t xml:space="preserve"> makes difference. It only means UE can receive RAR from such TRP, but it doesn’t prevent any DL or UL operation of the TRP associated with another TAG</w:t>
      </w:r>
      <w:r w:rsidR="00E00EEC">
        <w:t xml:space="preserve"> if the TAG associated with such TRP is out of synchronization</w:t>
      </w:r>
      <w:r w:rsidR="00224997">
        <w:t>.</w:t>
      </w:r>
    </w:p>
    <w:p w14:paraId="77CB199F" w14:textId="7EC6759D" w:rsidR="008B7927" w:rsidRDefault="008B7927" w:rsidP="001F3F92">
      <w:pPr>
        <w:rPr>
          <w:b/>
        </w:rPr>
      </w:pPr>
      <w:r w:rsidRPr="00D83D33">
        <w:rPr>
          <w:b/>
        </w:rPr>
        <w:t xml:space="preserve">Proposal 4: When another TAG is introduced for the </w:t>
      </w:r>
      <w:r w:rsidR="00A736C1">
        <w:t>SpCell</w:t>
      </w:r>
      <w:r w:rsidRPr="00D83D33">
        <w:rPr>
          <w:b/>
        </w:rPr>
        <w:t xml:space="preserve">, this TAG is taken as another PTAG (called secondary PTAG). </w:t>
      </w:r>
    </w:p>
    <w:p w14:paraId="55F9984A" w14:textId="76523C0E" w:rsidR="00D21DBD" w:rsidRPr="00E60E97" w:rsidRDefault="008B7927" w:rsidP="001F3F92">
      <w:r w:rsidRPr="00D83D33">
        <w:rPr>
          <w:b/>
        </w:rPr>
        <w:t>Proposal 5: The legacy</w:t>
      </w:r>
      <w:r w:rsidR="00BA3923" w:rsidRPr="00D83D33">
        <w:rPr>
          <w:b/>
        </w:rPr>
        <w:t xml:space="preserve"> procedure</w:t>
      </w:r>
      <w:r w:rsidR="002B29FF" w:rsidRPr="00D83D33">
        <w:rPr>
          <w:b/>
        </w:rPr>
        <w:t xml:space="preserve"> relevant to PTAG applies only when</w:t>
      </w:r>
      <w:r w:rsidR="005E1DEA">
        <w:rPr>
          <w:b/>
        </w:rPr>
        <w:t xml:space="preserve"> TAT timer of</w:t>
      </w:r>
      <w:r w:rsidR="002B29FF" w:rsidRPr="00D83D33">
        <w:rPr>
          <w:b/>
        </w:rPr>
        <w:t xml:space="preserve"> both PTAG and secondary PTAG </w:t>
      </w:r>
      <w:r w:rsidR="005E1DEA">
        <w:rPr>
          <w:b/>
        </w:rPr>
        <w:t>expires</w:t>
      </w:r>
      <w:r w:rsidR="00A314D4">
        <w:rPr>
          <w:b/>
        </w:rPr>
        <w:t>,</w:t>
      </w:r>
      <w:r w:rsidR="00A75FB7">
        <w:rPr>
          <w:b/>
        </w:rPr>
        <w:t xml:space="preserve"> </w:t>
      </w:r>
      <w:r w:rsidR="00A314D4">
        <w:rPr>
          <w:b/>
        </w:rPr>
        <w:t>o</w:t>
      </w:r>
      <w:r w:rsidR="002B29FF" w:rsidRPr="00D83D33">
        <w:rPr>
          <w:b/>
        </w:rPr>
        <w:t xml:space="preserve">therwise proposal </w:t>
      </w:r>
      <w:r w:rsidR="005E1DEA">
        <w:rPr>
          <w:b/>
        </w:rPr>
        <w:t>3</w:t>
      </w:r>
      <w:r w:rsidR="005E1DEA" w:rsidRPr="00D83D33">
        <w:rPr>
          <w:b/>
        </w:rPr>
        <w:t xml:space="preserve"> </w:t>
      </w:r>
      <w:r w:rsidR="00B91D1A">
        <w:rPr>
          <w:b/>
        </w:rPr>
        <w:t>can be also applied for SpCell</w:t>
      </w:r>
      <w:r w:rsidR="002B29FF" w:rsidRPr="00D83D33">
        <w:rPr>
          <w:b/>
        </w:rPr>
        <w:t>.</w:t>
      </w:r>
    </w:p>
    <w:p w14:paraId="2F3523AD" w14:textId="3F6396E4" w:rsidR="00D21DBD" w:rsidRDefault="00D21DBD" w:rsidP="001F3F92">
      <w:r>
        <w:t>For potential impact on RACH procedure, we can discuss following 4 cases:</w:t>
      </w:r>
    </w:p>
    <w:p w14:paraId="6AA06CB6" w14:textId="2D888281" w:rsidR="00D21DBD" w:rsidRDefault="00D21DBD" w:rsidP="001F3F92">
      <w:r>
        <w:t>Case 1: CFRA for inter-cell case</w:t>
      </w:r>
    </w:p>
    <w:p w14:paraId="6903590A" w14:textId="2C73D362" w:rsidR="00D21DBD" w:rsidRDefault="00D21DBD" w:rsidP="001F3F92">
      <w:r>
        <w:t>Case 2: CFRA for intra-cell case</w:t>
      </w:r>
    </w:p>
    <w:p w14:paraId="72812DAA" w14:textId="14988BA5" w:rsidR="00D21DBD" w:rsidRDefault="00D21DBD" w:rsidP="001F3F92">
      <w:r>
        <w:rPr>
          <w:rFonts w:hint="eastAsia"/>
        </w:rPr>
        <w:t>C</w:t>
      </w:r>
      <w:r>
        <w:t>ase 3: CBRA for inter-cell case</w:t>
      </w:r>
    </w:p>
    <w:p w14:paraId="3B31F57C" w14:textId="41081CE7" w:rsidR="00D21DBD" w:rsidRDefault="00D21DBD" w:rsidP="001F3F92">
      <w:r>
        <w:t>Case 4: CBRA for intra-cell case</w:t>
      </w:r>
    </w:p>
    <w:p w14:paraId="6F49AF5E" w14:textId="194C15DE" w:rsidR="00D21DBD" w:rsidRDefault="00D21DBD" w:rsidP="001F3F92">
      <w:r>
        <w:t>For case 1, the relevant RAN1 agreement</w:t>
      </w:r>
      <w:r w:rsidR="00731142">
        <w:t>s</w:t>
      </w:r>
      <w:r>
        <w:t xml:space="preserve"> </w:t>
      </w:r>
      <w:r w:rsidR="00731142">
        <w:t>are</w:t>
      </w:r>
      <w:r>
        <w:t>:</w:t>
      </w:r>
    </w:p>
    <w:p w14:paraId="57073B6F" w14:textId="77777777" w:rsidR="00D21DBD" w:rsidRDefault="00D21DBD" w:rsidP="00100C09">
      <w:pPr>
        <w:jc w:val="center"/>
      </w:pPr>
      <w:r>
        <w:rPr>
          <w:rFonts w:hint="eastAsia"/>
          <w:noProof/>
        </w:rPr>
        <mc:AlternateContent>
          <mc:Choice Requires="wps">
            <w:drawing>
              <wp:inline distT="0" distB="0" distL="0" distR="0" wp14:anchorId="4B7FE458" wp14:editId="0467E7B4">
                <wp:extent cx="5811769" cy="2793688"/>
                <wp:effectExtent l="0" t="0" r="17780" b="26035"/>
                <wp:docPr id="7" name="文本框 7"/>
                <wp:cNvGraphicFramePr/>
                <a:graphic xmlns:a="http://schemas.openxmlformats.org/drawingml/2006/main">
                  <a:graphicData uri="http://schemas.microsoft.com/office/word/2010/wordprocessingShape">
                    <wps:wsp>
                      <wps:cNvSpPr txBox="1"/>
                      <wps:spPr>
                        <a:xfrm>
                          <a:off x="0" y="0"/>
                          <a:ext cx="5811769" cy="2793688"/>
                        </a:xfrm>
                        <a:prstGeom prst="rect">
                          <a:avLst/>
                        </a:prstGeom>
                        <a:solidFill>
                          <a:schemeClr val="lt1"/>
                        </a:solidFill>
                        <a:ln w="6350">
                          <a:solidFill>
                            <a:prstClr val="black"/>
                          </a:solidFill>
                        </a:ln>
                      </wps:spPr>
                      <wps:txbx>
                        <w:txbxContent>
                          <w:p w14:paraId="3B2A6B83" w14:textId="77777777" w:rsidR="00D21DBD" w:rsidRPr="007364F3" w:rsidRDefault="00D21DBD" w:rsidP="00D21DBD">
                            <w:pPr>
                              <w:rPr>
                                <w:rFonts w:ascii="Times" w:hAnsi="Times"/>
                                <w:b/>
                                <w:bCs/>
                                <w:highlight w:val="green"/>
                                <w:lang w:eastAsia="x-none"/>
                              </w:rPr>
                            </w:pPr>
                            <w:r w:rsidRPr="007364F3">
                              <w:rPr>
                                <w:rFonts w:ascii="Times" w:hAnsi="Times"/>
                                <w:b/>
                                <w:bCs/>
                                <w:highlight w:val="green"/>
                                <w:lang w:eastAsia="x-none"/>
                              </w:rPr>
                              <w:t>Agreement</w:t>
                            </w:r>
                            <w:r>
                              <w:rPr>
                                <w:rFonts w:ascii="Times" w:hAnsi="Times" w:hint="eastAsia"/>
                                <w:b/>
                                <w:bCs/>
                                <w:highlight w:val="green"/>
                              </w:rPr>
                              <w:t>(</w:t>
                            </w:r>
                            <w:r>
                              <w:rPr>
                                <w:rFonts w:ascii="Times" w:hAnsi="Times"/>
                                <w:b/>
                                <w:bCs/>
                                <w:highlight w:val="green"/>
                              </w:rPr>
                              <w:t>RAN1#112)</w:t>
                            </w:r>
                          </w:p>
                          <w:p w14:paraId="656B50C3" w14:textId="77777777" w:rsidR="00D21DBD" w:rsidRDefault="00D21DBD" w:rsidP="00D21DBD">
                            <w:pPr>
                              <w:rPr>
                                <w:rFonts w:eastAsia="Microsoft YaHei UI Light"/>
                              </w:rPr>
                            </w:pPr>
                            <w:r>
                              <w:rPr>
                                <w:rFonts w:eastAsia="Microsoft YaHei UI Light"/>
                              </w:rPr>
                              <w:t>Confirm the following working assumption:</w:t>
                            </w:r>
                          </w:p>
                          <w:p w14:paraId="61063050" w14:textId="77777777" w:rsidR="00D21DBD" w:rsidRDefault="00D21DBD" w:rsidP="00D21DBD">
                            <w:pP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45786758" w14:textId="77777777" w:rsidR="00D21DBD" w:rsidRPr="00D83D33" w:rsidRDefault="00D21DBD" w:rsidP="00D21DBD">
                            <w:pPr>
                              <w:rPr>
                                <w:rFonts w:eastAsia="Microsoft YaHei UI Light"/>
                              </w:rPr>
                            </w:pPr>
                            <w:r w:rsidRPr="00D83D33">
                              <w:rPr>
                                <w:rFonts w:eastAsia="Microsoft YaHei UI Light" w:hint="eastAsia"/>
                              </w:rPr>
                              <w:t>•</w:t>
                            </w:r>
                            <w:r w:rsidRPr="00D83D33">
                              <w:rPr>
                                <w:rFonts w:eastAsia="Microsoft YaHei UI Light"/>
                              </w:rPr>
                              <w:tab/>
                              <w:t>the additional PRACH configuration is used in a RACH procedure triggered by a PDCCH order for the corresponding configured additional PCI</w:t>
                            </w:r>
                          </w:p>
                          <w:p w14:paraId="37218598" w14:textId="77777777" w:rsidR="00D21DBD" w:rsidRDefault="00D21DBD" w:rsidP="00D21DBD">
                            <w:pPr>
                              <w:rPr>
                                <w:b/>
                                <w:highlight w:val="green"/>
                                <w:lang w:eastAsia="x-none"/>
                              </w:rPr>
                            </w:pPr>
                          </w:p>
                          <w:p w14:paraId="1C0EDDE8" w14:textId="77777777" w:rsidR="00D21DBD" w:rsidRPr="00B826B9" w:rsidRDefault="00D21DBD" w:rsidP="00D21DBD">
                            <w:pPr>
                              <w:rPr>
                                <w:b/>
                                <w:highlight w:val="green"/>
                                <w:lang w:eastAsia="x-none"/>
                              </w:rPr>
                            </w:pPr>
                            <w:r w:rsidRPr="00B826B9">
                              <w:rPr>
                                <w:b/>
                                <w:highlight w:val="green"/>
                                <w:lang w:eastAsia="x-none"/>
                              </w:rPr>
                              <w:t>Agreement</w:t>
                            </w:r>
                            <w:r>
                              <w:rPr>
                                <w:b/>
                                <w:highlight w:val="green"/>
                                <w:lang w:eastAsia="x-none"/>
                              </w:rPr>
                              <w:t>(RAN1#112bis-e)</w:t>
                            </w:r>
                          </w:p>
                          <w:p w14:paraId="0163BDEA" w14:textId="77777777" w:rsidR="00D21DBD" w:rsidRPr="00B826B9" w:rsidRDefault="00D21DBD" w:rsidP="00D21DBD">
                            <w:pPr>
                              <w:rPr>
                                <w:rFonts w:cs="Times"/>
                                <w:i/>
                                <w:lang w:val="en-CA"/>
                              </w:rPr>
                            </w:pPr>
                            <w:r w:rsidRPr="00B826B9">
                              <w:rPr>
                                <w:rStyle w:val="af6"/>
                                <w:rFonts w:cs="Times"/>
                                <w:i w:val="0"/>
                                <w:lang w:val="en-CA"/>
                              </w:rPr>
                              <w:t>For intercell multi-DCI based Multi-TRP operation with two TA enhancement, support indication of which PRACH configuration to be used in the RACH procedure in the PDCCH order.</w:t>
                            </w:r>
                          </w:p>
                          <w:p w14:paraId="6A79690F" w14:textId="77777777" w:rsidR="00D21DBD" w:rsidRPr="00B826B9" w:rsidRDefault="00D21DBD" w:rsidP="00D21DBD">
                            <w:pPr>
                              <w:numPr>
                                <w:ilvl w:val="0"/>
                                <w:numId w:val="42"/>
                              </w:numPr>
                              <w:overflowPunct/>
                              <w:autoSpaceDE/>
                              <w:autoSpaceDN/>
                              <w:adjustRightInd/>
                              <w:spacing w:after="0"/>
                              <w:textAlignment w:val="auto"/>
                              <w:rPr>
                                <w:rFonts w:cs="Times"/>
                                <w:i/>
                                <w:lang w:val="en-CA"/>
                              </w:rPr>
                            </w:pPr>
                            <w:r w:rsidRPr="00B826B9">
                              <w:rPr>
                                <w:rStyle w:val="af6"/>
                                <w:rFonts w:cs="Times"/>
                                <w:i w:val="0"/>
                                <w:lang w:val="en-CA"/>
                              </w:rPr>
                              <w:t xml:space="preserve">FFS: </w:t>
                            </w:r>
                            <w:r>
                              <w:rPr>
                                <w:rStyle w:val="af6"/>
                                <w:rFonts w:cs="Times"/>
                                <w:i w:val="0"/>
                                <w:lang w:val="en-CA"/>
                              </w:rPr>
                              <w:t>W</w:t>
                            </w:r>
                            <w:r w:rsidRPr="00B826B9">
                              <w:rPr>
                                <w:rStyle w:val="af6"/>
                                <w:rFonts w:cs="Times"/>
                                <w:i w:val="0"/>
                                <w:lang w:val="en-CA"/>
                              </w:rPr>
                              <w:t xml:space="preserve">hether </w:t>
                            </w:r>
                            <w:r w:rsidRPr="00162A4C">
                              <w:rPr>
                                <w:rStyle w:val="af6"/>
                                <w:rFonts w:cs="Times"/>
                                <w:lang w:val="en-CA"/>
                              </w:rPr>
                              <w:t>additionalPCI</w:t>
                            </w:r>
                            <w:r w:rsidRPr="00B826B9">
                              <w:rPr>
                                <w:rStyle w:val="af6"/>
                                <w:rFonts w:cs="Times"/>
                                <w:i w:val="0"/>
                                <w:lang w:val="en-CA"/>
                              </w:rPr>
                              <w:t xml:space="preserve"> or a generic identifier is indicated in PDCCH order</w:t>
                            </w:r>
                          </w:p>
                          <w:p w14:paraId="4EC06759" w14:textId="77777777" w:rsidR="00D21DBD" w:rsidRPr="00B826B9" w:rsidRDefault="00D21DBD" w:rsidP="00D21DBD">
                            <w:pPr>
                              <w:numPr>
                                <w:ilvl w:val="0"/>
                                <w:numId w:val="42"/>
                              </w:numPr>
                              <w:overflowPunct/>
                              <w:autoSpaceDE/>
                              <w:autoSpaceDN/>
                              <w:adjustRightInd/>
                              <w:spacing w:after="0"/>
                              <w:textAlignment w:val="auto"/>
                              <w:rPr>
                                <w:rFonts w:cs="Times"/>
                                <w:i/>
                                <w:lang w:val="en-CA"/>
                              </w:rPr>
                            </w:pPr>
                            <w:r w:rsidRPr="00B826B9">
                              <w:rPr>
                                <w:rStyle w:val="af6"/>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af6"/>
                                <w:rFonts w:cs="Times"/>
                                <w:i w:val="0"/>
                                <w:lang w:val="en-CA"/>
                              </w:rPr>
                              <w:t xml:space="preserve">triggered for inactive </w:t>
                            </w:r>
                            <w:r w:rsidRPr="00162A4C">
                              <w:rPr>
                                <w:rStyle w:val="af6"/>
                                <w:rFonts w:cs="Times"/>
                                <w:lang w:val="en-CA"/>
                              </w:rPr>
                              <w:t>additionalPCI</w:t>
                            </w:r>
                            <w:r w:rsidRPr="00B826B9">
                              <w:rPr>
                                <w:rStyle w:val="af6"/>
                                <w:rFonts w:cs="Times"/>
                                <w:i w:val="0"/>
                                <w:lang w:val="en-CA"/>
                              </w:rPr>
                              <w:t>.</w:t>
                            </w:r>
                          </w:p>
                          <w:p w14:paraId="4649B326" w14:textId="77777777" w:rsidR="00D21DBD" w:rsidRPr="0038096F" w:rsidRDefault="00D21DBD" w:rsidP="00D21DBD">
                            <w:pPr>
                              <w:rPr>
                                <w:lang w:val="en-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B7FE458" id="文本框 7" o:spid="_x0000_s1028" type="#_x0000_t202" style="width:457.6pt;height:2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" fillcolor="white [3201]" strokeweight=".5pt">
                <v:textbox>
                  <w:txbxContent>
                    <w:p w14:paraId="3B2A6B83" w14:textId="77777777" w:rsidR="00D21DBD" w:rsidRPr="007364F3" w:rsidRDefault="00D21DBD" w:rsidP="00D21DBD">
                      <w:pPr>
                        <w:rPr>
                          <w:rFonts w:ascii="Times" w:hAnsi="Times"/>
                          <w:b/>
                          <w:bCs/>
                          <w:highlight w:val="green"/>
                          <w:lang w:eastAsia="x-none"/>
                        </w:rPr>
                      </w:pPr>
                      <w:r w:rsidRPr="007364F3">
                        <w:rPr>
                          <w:rFonts w:ascii="Times" w:hAnsi="Times"/>
                          <w:b/>
                          <w:bCs/>
                          <w:highlight w:val="green"/>
                          <w:lang w:eastAsia="x-none"/>
                        </w:rPr>
                        <w:t>Agreement</w:t>
                      </w:r>
                      <w:r>
                        <w:rPr>
                          <w:rFonts w:ascii="Times" w:hAnsi="Times" w:hint="eastAsia"/>
                          <w:b/>
                          <w:bCs/>
                          <w:highlight w:val="green"/>
                        </w:rPr>
                        <w:t>(</w:t>
                      </w:r>
                      <w:r>
                        <w:rPr>
                          <w:rFonts w:ascii="Times" w:hAnsi="Times"/>
                          <w:b/>
                          <w:bCs/>
                          <w:highlight w:val="green"/>
                        </w:rPr>
                        <w:t>RAN1#112)</w:t>
                      </w:r>
                    </w:p>
                    <w:p w14:paraId="656B50C3" w14:textId="77777777" w:rsidR="00D21DBD" w:rsidRDefault="00D21DBD" w:rsidP="00D21DBD">
                      <w:pPr>
                        <w:rPr>
                          <w:rFonts w:eastAsia="Microsoft YaHei UI Light"/>
                        </w:rPr>
                      </w:pPr>
                      <w:r>
                        <w:rPr>
                          <w:rFonts w:eastAsia="Microsoft YaHei UI Light"/>
                        </w:rPr>
                        <w:t>Confirm the following working assumption:</w:t>
                      </w:r>
                    </w:p>
                    <w:p w14:paraId="61063050" w14:textId="77777777" w:rsidR="00D21DBD" w:rsidRDefault="00D21DBD" w:rsidP="00D21DBD">
                      <w:pP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45786758" w14:textId="77777777" w:rsidR="00D21DBD" w:rsidRPr="00D83D33" w:rsidRDefault="00D21DBD" w:rsidP="00D21DBD">
                      <w:pPr>
                        <w:rPr>
                          <w:rFonts w:eastAsia="Microsoft YaHei UI Light"/>
                        </w:rPr>
                      </w:pPr>
                      <w:r w:rsidRPr="00D83D33">
                        <w:rPr>
                          <w:rFonts w:eastAsia="Microsoft YaHei UI Light" w:hint="eastAsia"/>
                        </w:rPr>
                        <w:t>•</w:t>
                      </w:r>
                      <w:r w:rsidRPr="00D83D33">
                        <w:rPr>
                          <w:rFonts w:eastAsia="Microsoft YaHei UI Light"/>
                        </w:rPr>
                        <w:tab/>
                        <w:t>the additional PRACH configuration is used in a RACH procedure triggered by a PDCCH order for the corresponding configured additional PCI</w:t>
                      </w:r>
                    </w:p>
                    <w:p w14:paraId="37218598" w14:textId="77777777" w:rsidR="00D21DBD" w:rsidRDefault="00D21DBD" w:rsidP="00D21DBD">
                      <w:pPr>
                        <w:rPr>
                          <w:b/>
                          <w:highlight w:val="green"/>
                          <w:lang w:eastAsia="x-none"/>
                        </w:rPr>
                      </w:pPr>
                    </w:p>
                    <w:p w14:paraId="1C0EDDE8" w14:textId="77777777" w:rsidR="00D21DBD" w:rsidRPr="00B826B9" w:rsidRDefault="00D21DBD" w:rsidP="00D21DBD">
                      <w:pPr>
                        <w:rPr>
                          <w:b/>
                          <w:highlight w:val="green"/>
                          <w:lang w:eastAsia="x-none"/>
                        </w:rPr>
                      </w:pPr>
                      <w:r w:rsidRPr="00B826B9">
                        <w:rPr>
                          <w:b/>
                          <w:highlight w:val="green"/>
                          <w:lang w:eastAsia="x-none"/>
                        </w:rPr>
                        <w:t>Agreement</w:t>
                      </w:r>
                      <w:r>
                        <w:rPr>
                          <w:b/>
                          <w:highlight w:val="green"/>
                          <w:lang w:eastAsia="x-none"/>
                        </w:rPr>
                        <w:t>(RAN1#112bis-e)</w:t>
                      </w:r>
                    </w:p>
                    <w:p w14:paraId="0163BDEA" w14:textId="77777777" w:rsidR="00D21DBD" w:rsidRPr="00B826B9" w:rsidRDefault="00D21DBD" w:rsidP="00D21DBD">
                      <w:pPr>
                        <w:rPr>
                          <w:rFonts w:cs="Times"/>
                          <w:i/>
                          <w:lang w:val="en-CA"/>
                        </w:rPr>
                      </w:pPr>
                      <w:r w:rsidRPr="00B826B9">
                        <w:rPr>
                          <w:rStyle w:val="af6"/>
                          <w:rFonts w:cs="Times"/>
                          <w:i w:val="0"/>
                          <w:lang w:val="en-CA"/>
                        </w:rPr>
                        <w:t>For intercell multi-DCI based Multi-TRP operation with two TA enhancement, support indication of which PRACH configuration to be used in the RACH procedure in the PDCCH order.</w:t>
                      </w:r>
                    </w:p>
                    <w:p w14:paraId="6A79690F" w14:textId="77777777" w:rsidR="00D21DBD" w:rsidRPr="00B826B9" w:rsidRDefault="00D21DBD" w:rsidP="00D21DBD">
                      <w:pPr>
                        <w:numPr>
                          <w:ilvl w:val="0"/>
                          <w:numId w:val="42"/>
                        </w:numPr>
                        <w:overflowPunct/>
                        <w:autoSpaceDE/>
                        <w:autoSpaceDN/>
                        <w:adjustRightInd/>
                        <w:spacing w:after="0"/>
                        <w:textAlignment w:val="auto"/>
                        <w:rPr>
                          <w:rFonts w:cs="Times"/>
                          <w:i/>
                          <w:lang w:val="en-CA"/>
                        </w:rPr>
                      </w:pPr>
                      <w:r w:rsidRPr="00B826B9">
                        <w:rPr>
                          <w:rStyle w:val="af6"/>
                          <w:rFonts w:cs="Times"/>
                          <w:i w:val="0"/>
                          <w:lang w:val="en-CA"/>
                        </w:rPr>
                        <w:t xml:space="preserve">FFS: </w:t>
                      </w:r>
                      <w:r>
                        <w:rPr>
                          <w:rStyle w:val="af6"/>
                          <w:rFonts w:cs="Times"/>
                          <w:i w:val="0"/>
                          <w:lang w:val="en-CA"/>
                        </w:rPr>
                        <w:t>W</w:t>
                      </w:r>
                      <w:r w:rsidRPr="00B826B9">
                        <w:rPr>
                          <w:rStyle w:val="af6"/>
                          <w:rFonts w:cs="Times"/>
                          <w:i w:val="0"/>
                          <w:lang w:val="en-CA"/>
                        </w:rPr>
                        <w:t xml:space="preserve">hether </w:t>
                      </w:r>
                      <w:proofErr w:type="spellStart"/>
                      <w:r w:rsidRPr="00162A4C">
                        <w:rPr>
                          <w:rStyle w:val="af6"/>
                          <w:rFonts w:cs="Times"/>
                          <w:lang w:val="en-CA"/>
                        </w:rPr>
                        <w:t>additionalPCI</w:t>
                      </w:r>
                      <w:proofErr w:type="spellEnd"/>
                      <w:r w:rsidRPr="00B826B9">
                        <w:rPr>
                          <w:rStyle w:val="af6"/>
                          <w:rFonts w:cs="Times"/>
                          <w:i w:val="0"/>
                          <w:lang w:val="en-CA"/>
                        </w:rPr>
                        <w:t xml:space="preserve"> or a generic identifier is indicated in PDCCH order</w:t>
                      </w:r>
                    </w:p>
                    <w:p w14:paraId="4EC06759" w14:textId="77777777" w:rsidR="00D21DBD" w:rsidRPr="00B826B9" w:rsidRDefault="00D21DBD" w:rsidP="00D21DBD">
                      <w:pPr>
                        <w:numPr>
                          <w:ilvl w:val="0"/>
                          <w:numId w:val="42"/>
                        </w:numPr>
                        <w:overflowPunct/>
                        <w:autoSpaceDE/>
                        <w:autoSpaceDN/>
                        <w:adjustRightInd/>
                        <w:spacing w:after="0"/>
                        <w:textAlignment w:val="auto"/>
                        <w:rPr>
                          <w:rFonts w:cs="Times"/>
                          <w:i/>
                          <w:lang w:val="en-CA"/>
                        </w:rPr>
                      </w:pPr>
                      <w:r w:rsidRPr="00B826B9">
                        <w:rPr>
                          <w:rStyle w:val="af6"/>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af6"/>
                          <w:rFonts w:cs="Times"/>
                          <w:i w:val="0"/>
                          <w:lang w:val="en-CA"/>
                        </w:rPr>
                        <w:t xml:space="preserve">triggered for inactive </w:t>
                      </w:r>
                      <w:proofErr w:type="spellStart"/>
                      <w:r w:rsidRPr="00162A4C">
                        <w:rPr>
                          <w:rStyle w:val="af6"/>
                          <w:rFonts w:cs="Times"/>
                          <w:lang w:val="en-CA"/>
                        </w:rPr>
                        <w:t>additionalPCI</w:t>
                      </w:r>
                      <w:proofErr w:type="spellEnd"/>
                      <w:r w:rsidRPr="00B826B9">
                        <w:rPr>
                          <w:rStyle w:val="af6"/>
                          <w:rFonts w:cs="Times"/>
                          <w:i w:val="0"/>
                          <w:lang w:val="en-CA"/>
                        </w:rPr>
                        <w:t>.</w:t>
                      </w:r>
                    </w:p>
                    <w:p w14:paraId="4649B326" w14:textId="77777777" w:rsidR="00D21DBD" w:rsidRPr="0038096F" w:rsidRDefault="00D21DBD" w:rsidP="00D21DBD">
                      <w:pPr>
                        <w:rPr>
                          <w:lang w:val="en-CA"/>
                        </w:rPr>
                      </w:pPr>
                    </w:p>
                  </w:txbxContent>
                </v:textbox>
                <w10:anchorlock/>
              </v:shape>
            </w:pict>
          </mc:Fallback>
        </mc:AlternateContent>
      </w:r>
    </w:p>
    <w:p w14:paraId="3228165A" w14:textId="70F717C0" w:rsidR="00100C09" w:rsidRDefault="00100C09" w:rsidP="00100C09">
      <w:pPr>
        <w:jc w:val="center"/>
      </w:pPr>
      <w:r>
        <w:t>Table 2</w:t>
      </w:r>
    </w:p>
    <w:p w14:paraId="0EAB7FD5" w14:textId="2D97C332" w:rsidR="00D21DBD" w:rsidRDefault="00D21DBD" w:rsidP="001F3F92">
      <w:r>
        <w:t xml:space="preserve">And RAN1 also agreed following two new parameters to reflect RAN1’s agreement on the association between TCI state and </w:t>
      </w:r>
      <w:r w:rsidR="00731142">
        <w:t>TAG:</w:t>
      </w:r>
    </w:p>
    <w:tbl>
      <w:tblPr>
        <w:tblW w:w="0" w:type="auto"/>
        <w:tblLook w:val="04A0" w:firstRow="1" w:lastRow="0" w:firstColumn="1" w:lastColumn="0" w:noHBand="0" w:noVBand="1"/>
      </w:tblPr>
      <w:tblGrid>
        <w:gridCol w:w="797"/>
        <w:gridCol w:w="577"/>
        <w:gridCol w:w="7792"/>
        <w:gridCol w:w="463"/>
      </w:tblGrid>
      <w:tr w:rsidR="00731142" w:rsidRPr="00731142" w14:paraId="26F91896" w14:textId="77777777" w:rsidTr="00100C09">
        <w:trPr>
          <w:trHeight w:val="9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825804" w14:textId="77777777" w:rsidR="00731142" w:rsidRPr="00731142" w:rsidRDefault="00731142" w:rsidP="00100C09">
            <w:pPr>
              <w:overflowPunct/>
              <w:autoSpaceDE/>
              <w:autoSpaceDN/>
              <w:adjustRightInd/>
              <w:spacing w:after="0"/>
              <w:jc w:val="center"/>
              <w:textAlignment w:val="auto"/>
              <w:rPr>
                <w:rFonts w:eastAsia="等线" w:cs="Arial"/>
                <w:color w:val="0000FF"/>
                <w:sz w:val="18"/>
                <w:szCs w:val="18"/>
                <w:lang w:val="en-US"/>
              </w:rPr>
            </w:pPr>
            <w:r w:rsidRPr="00731142">
              <w:rPr>
                <w:rFonts w:eastAsia="等线" w:cs="Arial"/>
                <w:color w:val="0000FF"/>
                <w:sz w:val="18"/>
                <w:szCs w:val="18"/>
                <w:lang w:val="en-US"/>
              </w:rPr>
              <w:t>tag-Id-ptr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778B97" w14:textId="77777777" w:rsidR="00731142" w:rsidRPr="00731142" w:rsidRDefault="00731142" w:rsidP="00100C09">
            <w:pPr>
              <w:overflowPunct/>
              <w:autoSpaceDE/>
              <w:autoSpaceDN/>
              <w:adjustRightInd/>
              <w:spacing w:after="0"/>
              <w:jc w:val="center"/>
              <w:textAlignment w:val="auto"/>
              <w:rPr>
                <w:rFonts w:eastAsia="等线" w:cs="Arial"/>
                <w:color w:val="0000FF"/>
                <w:sz w:val="18"/>
                <w:szCs w:val="18"/>
                <w:lang w:val="en-US"/>
              </w:rPr>
            </w:pPr>
            <w:r w:rsidRPr="00731142">
              <w:rPr>
                <w:rFonts w:eastAsia="等线" w:cs="Arial"/>
                <w:color w:val="0000FF"/>
                <w:sz w:val="18"/>
                <w:szCs w:val="18"/>
                <w:lang w:val="en-US"/>
              </w:rPr>
              <w:t>New</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553061" w14:textId="77777777" w:rsidR="00731142" w:rsidRPr="00731142" w:rsidRDefault="00731142" w:rsidP="00100C09">
            <w:pPr>
              <w:overflowPunct/>
              <w:autoSpaceDE/>
              <w:autoSpaceDN/>
              <w:adjustRightInd/>
              <w:spacing w:after="0"/>
              <w:jc w:val="center"/>
              <w:textAlignment w:val="auto"/>
              <w:rPr>
                <w:rFonts w:eastAsia="等线" w:cs="Arial"/>
                <w:color w:val="0000FF"/>
                <w:sz w:val="18"/>
                <w:szCs w:val="18"/>
                <w:lang w:val="en-US"/>
              </w:rPr>
            </w:pPr>
            <w:r w:rsidRPr="00731142">
              <w:rPr>
                <w:rFonts w:eastAsia="等线" w:cs="Arial"/>
                <w:color w:val="0000FF"/>
                <w:sz w:val="18"/>
                <w:szCs w:val="18"/>
                <w:lang w:val="en-US"/>
              </w:rPr>
              <w:t>This parameter is used to associate a TAG ID with a joint TCI state.   This covers the case when joint TCI state is used for UL transmission.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2DD2B5" w14:textId="77777777" w:rsidR="00731142" w:rsidRPr="00731142" w:rsidRDefault="00731142" w:rsidP="00100C09">
            <w:pPr>
              <w:overflowPunct/>
              <w:autoSpaceDE/>
              <w:autoSpaceDN/>
              <w:adjustRightInd/>
              <w:spacing w:after="0"/>
              <w:jc w:val="center"/>
              <w:textAlignment w:val="auto"/>
              <w:rPr>
                <w:rFonts w:eastAsia="等线" w:cs="Arial"/>
                <w:color w:val="0000FF"/>
                <w:sz w:val="18"/>
                <w:szCs w:val="18"/>
                <w:lang w:val="en-US"/>
              </w:rPr>
            </w:pPr>
            <w:r w:rsidRPr="00731142">
              <w:rPr>
                <w:rFonts w:eastAsia="等线" w:cs="Arial"/>
                <w:color w:val="0000FF"/>
                <w:sz w:val="18"/>
                <w:szCs w:val="18"/>
                <w:lang w:val="en-US"/>
              </w:rPr>
              <w:t>0, 1</w:t>
            </w:r>
          </w:p>
        </w:tc>
      </w:tr>
      <w:tr w:rsidR="00731142" w:rsidRPr="00731142" w14:paraId="4687496E" w14:textId="77777777" w:rsidTr="00100C09">
        <w:trPr>
          <w:trHeight w:val="96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30FA20" w14:textId="77777777" w:rsidR="00731142" w:rsidRPr="00731142" w:rsidRDefault="00731142" w:rsidP="00100C09">
            <w:pPr>
              <w:overflowPunct/>
              <w:autoSpaceDE/>
              <w:autoSpaceDN/>
              <w:adjustRightInd/>
              <w:spacing w:after="0"/>
              <w:jc w:val="center"/>
              <w:textAlignment w:val="auto"/>
              <w:rPr>
                <w:rFonts w:eastAsia="等线" w:cs="Arial"/>
                <w:color w:val="0000FF"/>
                <w:sz w:val="18"/>
                <w:szCs w:val="18"/>
                <w:lang w:val="en-US"/>
              </w:rPr>
            </w:pPr>
            <w:r w:rsidRPr="00731142">
              <w:rPr>
                <w:rFonts w:eastAsia="等线" w:cs="Arial"/>
                <w:color w:val="0000FF"/>
                <w:sz w:val="18"/>
                <w:szCs w:val="18"/>
                <w:lang w:val="en-US"/>
              </w:rPr>
              <w:t>tag-Id-ptr</w:t>
            </w:r>
          </w:p>
        </w:tc>
        <w:tc>
          <w:tcPr>
            <w:tcW w:w="0" w:type="auto"/>
            <w:tcBorders>
              <w:top w:val="nil"/>
              <w:left w:val="nil"/>
              <w:bottom w:val="single" w:sz="4" w:space="0" w:color="auto"/>
              <w:right w:val="single" w:sz="4" w:space="0" w:color="auto"/>
            </w:tcBorders>
            <w:shd w:val="clear" w:color="auto" w:fill="auto"/>
            <w:vAlign w:val="center"/>
            <w:hideMark/>
          </w:tcPr>
          <w:p w14:paraId="1AF869FB" w14:textId="77777777" w:rsidR="00731142" w:rsidRPr="00731142" w:rsidRDefault="00731142" w:rsidP="00100C09">
            <w:pPr>
              <w:overflowPunct/>
              <w:autoSpaceDE/>
              <w:autoSpaceDN/>
              <w:adjustRightInd/>
              <w:spacing w:after="0"/>
              <w:jc w:val="center"/>
              <w:textAlignment w:val="auto"/>
              <w:rPr>
                <w:rFonts w:eastAsia="等线" w:cs="Arial"/>
                <w:color w:val="0000FF"/>
                <w:sz w:val="18"/>
                <w:szCs w:val="18"/>
                <w:lang w:val="en-US"/>
              </w:rPr>
            </w:pPr>
            <w:r w:rsidRPr="00731142">
              <w:rPr>
                <w:rFonts w:eastAsia="等线" w:cs="Arial"/>
                <w:color w:val="0000FF"/>
                <w:sz w:val="18"/>
                <w:szCs w:val="18"/>
                <w:lang w:val="en-US"/>
              </w:rPr>
              <w:t>New</w:t>
            </w:r>
          </w:p>
        </w:tc>
        <w:tc>
          <w:tcPr>
            <w:tcW w:w="0" w:type="auto"/>
            <w:tcBorders>
              <w:top w:val="nil"/>
              <w:left w:val="nil"/>
              <w:bottom w:val="single" w:sz="4" w:space="0" w:color="auto"/>
              <w:right w:val="single" w:sz="4" w:space="0" w:color="auto"/>
            </w:tcBorders>
            <w:shd w:val="clear" w:color="auto" w:fill="auto"/>
            <w:vAlign w:val="center"/>
            <w:hideMark/>
          </w:tcPr>
          <w:p w14:paraId="5E63BFFD" w14:textId="77777777" w:rsidR="00731142" w:rsidRPr="00731142" w:rsidRDefault="00731142" w:rsidP="00100C09">
            <w:pPr>
              <w:overflowPunct/>
              <w:autoSpaceDE/>
              <w:autoSpaceDN/>
              <w:adjustRightInd/>
              <w:spacing w:after="0"/>
              <w:jc w:val="center"/>
              <w:textAlignment w:val="auto"/>
              <w:rPr>
                <w:rFonts w:eastAsia="等线" w:cs="Arial"/>
                <w:color w:val="0000FF"/>
                <w:sz w:val="18"/>
                <w:szCs w:val="18"/>
                <w:lang w:val="en-US"/>
              </w:rPr>
            </w:pPr>
            <w:r w:rsidRPr="00731142">
              <w:rPr>
                <w:rFonts w:eastAsia="等线" w:cs="Arial"/>
                <w:color w:val="0000FF"/>
                <w:sz w:val="18"/>
                <w:szCs w:val="18"/>
                <w:lang w:val="en-US"/>
              </w:rPr>
              <w:t xml:space="preserve">This parameter is used to associate a TAG ID with an UL TCI state.   This </w:t>
            </w:r>
            <w:r w:rsidRPr="00731142">
              <w:rPr>
                <w:rFonts w:eastAsia="等线" w:cs="Arial"/>
                <w:color w:val="0000FF"/>
                <w:sz w:val="18"/>
                <w:szCs w:val="18"/>
                <w:lang w:val="en-US"/>
              </w:rPr>
              <w:br/>
              <w:t>covers the case when UL TCI state is used for UL transmission.</w:t>
            </w:r>
          </w:p>
        </w:tc>
        <w:tc>
          <w:tcPr>
            <w:tcW w:w="0" w:type="auto"/>
            <w:tcBorders>
              <w:top w:val="nil"/>
              <w:left w:val="nil"/>
              <w:bottom w:val="single" w:sz="4" w:space="0" w:color="auto"/>
              <w:right w:val="single" w:sz="4" w:space="0" w:color="auto"/>
            </w:tcBorders>
            <w:shd w:val="clear" w:color="auto" w:fill="auto"/>
            <w:vAlign w:val="center"/>
            <w:hideMark/>
          </w:tcPr>
          <w:p w14:paraId="33C9246D" w14:textId="77777777" w:rsidR="00731142" w:rsidRPr="00731142" w:rsidRDefault="00731142" w:rsidP="00100C09">
            <w:pPr>
              <w:overflowPunct/>
              <w:autoSpaceDE/>
              <w:autoSpaceDN/>
              <w:adjustRightInd/>
              <w:spacing w:after="0"/>
              <w:jc w:val="center"/>
              <w:textAlignment w:val="auto"/>
              <w:rPr>
                <w:rFonts w:eastAsia="等线" w:cs="Arial"/>
                <w:color w:val="0000FF"/>
                <w:sz w:val="18"/>
                <w:szCs w:val="18"/>
                <w:lang w:val="en-US"/>
              </w:rPr>
            </w:pPr>
            <w:r w:rsidRPr="00731142">
              <w:rPr>
                <w:rFonts w:eastAsia="等线" w:cs="Arial"/>
                <w:color w:val="0000FF"/>
                <w:sz w:val="18"/>
                <w:szCs w:val="18"/>
                <w:lang w:val="en-US"/>
              </w:rPr>
              <w:t>0, 1</w:t>
            </w:r>
          </w:p>
        </w:tc>
      </w:tr>
    </w:tbl>
    <w:p w14:paraId="6A03342B" w14:textId="7F246E2B" w:rsidR="00731142" w:rsidRDefault="00100C09" w:rsidP="00100C09">
      <w:pPr>
        <w:spacing w:beforeLines="100" w:before="240"/>
        <w:jc w:val="center"/>
      </w:pPr>
      <w:r>
        <w:t>Table 3</w:t>
      </w:r>
    </w:p>
    <w:p w14:paraId="6D2E4B74" w14:textId="5C0E1CB2" w:rsidR="00AC6AA1" w:rsidRDefault="00AC6AA1" w:rsidP="00AC6AA1">
      <w:r>
        <w:t>We understand that UE can deduce the association between PCI and TAG indirectly based on the association between TCI state and TAG since additional PCI is the part of the reference signal SSB’s parameter.</w:t>
      </w:r>
      <w:r w:rsidR="007025DB">
        <w:t xml:space="preserve"> This is also applied for the case, where additionalPCI-r17 is absent.</w:t>
      </w:r>
    </w:p>
    <w:p w14:paraId="246FCEFA" w14:textId="6424CC12" w:rsidR="005910DB" w:rsidRDefault="005910DB" w:rsidP="005910DB">
      <w:pPr>
        <w:jc w:val="center"/>
      </w:pPr>
      <w:r>
        <w:object w:dxaOrig="10665" w:dyaOrig="8055" w14:anchorId="15D2217B">
          <v:shape id="_x0000_i1027" type="#_x0000_t75" style="width:264.15pt;height:199.65pt" o:ole="">
            <v:imagedata r:id="rId11" o:title=""/>
          </v:shape>
          <o:OLEObject Type="Embed" ProgID="Visio.Drawing.15" ShapeID="_x0000_i1027" DrawAspect="Content" ObjectID="_1753096133" r:id="rId12"/>
        </w:object>
      </w:r>
    </w:p>
    <w:p w14:paraId="7D8EB902" w14:textId="6D7D98AF" w:rsidR="005910DB" w:rsidRPr="005910DB" w:rsidRDefault="005910DB" w:rsidP="005910DB">
      <w:pPr>
        <w:jc w:val="center"/>
      </w:pPr>
      <w:r>
        <w:rPr>
          <w:rFonts w:hint="eastAsia"/>
        </w:rPr>
        <w:t>Figure</w:t>
      </w:r>
      <w:r>
        <w:t xml:space="preserve"> 3</w:t>
      </w:r>
    </w:p>
    <w:p w14:paraId="3A6F2843" w14:textId="4D12EC89" w:rsidR="00AC6AA1" w:rsidRDefault="00753C2C" w:rsidP="001F3F92">
      <w:r>
        <w:t xml:space="preserve">When PDCCH order is received, UE can deduce PCI index based on the relationship between PRACH configuration and PCI index and hence the </w:t>
      </w:r>
      <w:r w:rsidR="00100C09">
        <w:t>associated</w:t>
      </w:r>
      <w:r>
        <w:t xml:space="preserve"> TAG. So for case 1, no further spec impact is foreseen.</w:t>
      </w:r>
    </w:p>
    <w:p w14:paraId="1F2B137E" w14:textId="745FA4B2" w:rsidR="00AC6AA1" w:rsidRPr="00565D40" w:rsidRDefault="00753C2C" w:rsidP="001F3F92">
      <w:pPr>
        <w:rPr>
          <w:b/>
        </w:rPr>
      </w:pPr>
      <w:r w:rsidRPr="00565D40">
        <w:rPr>
          <w:b/>
        </w:rPr>
        <w:t>Observation</w:t>
      </w:r>
      <w:r w:rsidR="00A53E22">
        <w:rPr>
          <w:b/>
        </w:rPr>
        <w:t xml:space="preserve"> 1</w:t>
      </w:r>
      <w:r w:rsidRPr="00565D40">
        <w:rPr>
          <w:b/>
        </w:rPr>
        <w:t>: For PDCCH order triggered CFRA on inter-cell case, no further spec impact is foreseen.</w:t>
      </w:r>
    </w:p>
    <w:p w14:paraId="3504C842" w14:textId="3C3CB398" w:rsidR="000F6252" w:rsidRDefault="000F6252" w:rsidP="001F3F92">
      <w:r>
        <w:t>Actually the same logic can be also applied for intra-cell case. This is because SSB index is a parameter of the unified TCI state</w:t>
      </w:r>
      <w:r w:rsidR="00565D40">
        <w:t xml:space="preserve"> i.e. UE can deduce the relationship between SSB index and TAG (many to 1). Since current PDCCH order already contain SSB index, UE can easily deduce relevant TAG. In short for intra-cell case, no further spec impact is foreseen.</w:t>
      </w:r>
    </w:p>
    <w:p w14:paraId="7FC2B17F" w14:textId="187C1380" w:rsidR="00E14EE7" w:rsidRDefault="00D1159C" w:rsidP="00E14EE7">
      <w:pPr>
        <w:jc w:val="center"/>
      </w:pPr>
      <w:r>
        <w:object w:dxaOrig="10665" w:dyaOrig="8055" w14:anchorId="28D9B8F1">
          <v:shape id="_x0000_i1028" type="#_x0000_t75" style="width:269.3pt;height:203.85pt" o:ole="">
            <v:imagedata r:id="rId13" o:title=""/>
          </v:shape>
          <o:OLEObject Type="Embed" ProgID="Visio.Drawing.15" ShapeID="_x0000_i1028" DrawAspect="Content" ObjectID="_1753096134" r:id="rId14"/>
        </w:object>
      </w:r>
    </w:p>
    <w:p w14:paraId="11A9A1CA" w14:textId="4BBEF175" w:rsidR="00E14EE7" w:rsidRDefault="00E14EE7" w:rsidP="00E14EE7">
      <w:pPr>
        <w:jc w:val="center"/>
      </w:pPr>
      <w:r>
        <w:rPr>
          <w:rFonts w:hint="eastAsia"/>
        </w:rPr>
        <w:t>F</w:t>
      </w:r>
      <w:r>
        <w:t>igure 4</w:t>
      </w:r>
    </w:p>
    <w:p w14:paraId="53FD294E" w14:textId="344B2AD0" w:rsidR="00565D40" w:rsidRPr="00565D40" w:rsidRDefault="00565D40" w:rsidP="00565D40">
      <w:pPr>
        <w:rPr>
          <w:b/>
        </w:rPr>
      </w:pPr>
      <w:r w:rsidRPr="00565D40">
        <w:rPr>
          <w:b/>
        </w:rPr>
        <w:t>Observation</w:t>
      </w:r>
      <w:r w:rsidR="00A53E22">
        <w:rPr>
          <w:b/>
        </w:rPr>
        <w:t xml:space="preserve"> 2</w:t>
      </w:r>
      <w:r w:rsidRPr="00565D40">
        <w:rPr>
          <w:b/>
        </w:rPr>
        <w:t>: For PDCCH order triggered CFRA on int</w:t>
      </w:r>
      <w:r>
        <w:rPr>
          <w:b/>
        </w:rPr>
        <w:t>ra</w:t>
      </w:r>
      <w:r w:rsidRPr="00565D40">
        <w:rPr>
          <w:b/>
        </w:rPr>
        <w:t>-cell case, no further spec impact is foreseen</w:t>
      </w:r>
      <w:r>
        <w:rPr>
          <w:b/>
        </w:rPr>
        <w:t xml:space="preserve"> from RAN2 point of view</w:t>
      </w:r>
      <w:r w:rsidRPr="00565D40">
        <w:rPr>
          <w:b/>
        </w:rPr>
        <w:t>.</w:t>
      </w:r>
      <w:r>
        <w:rPr>
          <w:b/>
        </w:rPr>
        <w:t xml:space="preserve"> But final decision could be made in RAN1.</w:t>
      </w:r>
    </w:p>
    <w:p w14:paraId="0C12240C" w14:textId="77777777" w:rsidR="00565D40" w:rsidRPr="00565D40" w:rsidRDefault="00565D40" w:rsidP="001F3F92"/>
    <w:p w14:paraId="1037CE9F" w14:textId="3B4DE502" w:rsidR="00DC5328" w:rsidRDefault="00DC5328" w:rsidP="001F3F92">
      <w:r>
        <w:t xml:space="preserve">If </w:t>
      </w:r>
      <w:r w:rsidR="001A2045">
        <w:t>PSCell</w:t>
      </w:r>
      <w:r>
        <w:t xml:space="preserve"> is configured with two TAGs, </w:t>
      </w:r>
      <w:r w:rsidR="00D1159C">
        <w:t>CBRA</w:t>
      </w:r>
      <w:r>
        <w:t xml:space="preserve"> will be </w:t>
      </w:r>
      <w:r w:rsidR="002B2FAE">
        <w:t>initiated</w:t>
      </w:r>
      <w:r>
        <w:t xml:space="preserve"> in two cases:</w:t>
      </w:r>
    </w:p>
    <w:p w14:paraId="5FE14A76" w14:textId="2AB19886" w:rsidR="00DC5328" w:rsidRDefault="00DC5328" w:rsidP="001F3F92">
      <w:r>
        <w:t xml:space="preserve">Case </w:t>
      </w:r>
      <w:r w:rsidR="00B930D4">
        <w:t>a</w:t>
      </w:r>
      <w:r>
        <w:t xml:space="preserve">: </w:t>
      </w:r>
      <w:r w:rsidR="002B2FAE">
        <w:t>when TAT timer of at least one TAG is running but RACH is triggered due to e.g. no configuration of scheduling request, or the maximum number of SR is reached or BFR</w:t>
      </w:r>
      <w:r w:rsidR="00A736C1">
        <w:t xml:space="preserve"> etc</w:t>
      </w:r>
      <w:r w:rsidR="002B2FAE">
        <w:t>.</w:t>
      </w:r>
    </w:p>
    <w:p w14:paraId="659C5CA5" w14:textId="75950802" w:rsidR="00DC5328" w:rsidRDefault="00DC5328" w:rsidP="001F3F92">
      <w:r>
        <w:t xml:space="preserve">Case </w:t>
      </w:r>
      <w:r w:rsidR="00B930D4">
        <w:t>b</w:t>
      </w:r>
      <w:r>
        <w:t>: both TAGs are out of synchronization</w:t>
      </w:r>
      <w:r w:rsidR="002B2FAE">
        <w:t xml:space="preserve"> but there is e.g. data arrival in uplink</w:t>
      </w:r>
    </w:p>
    <w:p w14:paraId="617674BA" w14:textId="6293D1FB" w:rsidR="009A5018" w:rsidRPr="00935515" w:rsidRDefault="00D00DF6" w:rsidP="001F3F92">
      <w:pPr>
        <w:rPr>
          <w:b/>
        </w:rPr>
      </w:pPr>
      <w:r>
        <w:rPr>
          <w:b/>
        </w:rPr>
        <w:t>Observation</w:t>
      </w:r>
      <w:r w:rsidR="00A53E22">
        <w:rPr>
          <w:b/>
        </w:rPr>
        <w:t xml:space="preserve"> 3</w:t>
      </w:r>
      <w:r w:rsidR="00974E6D" w:rsidRPr="00C34A66">
        <w:rPr>
          <w:b/>
        </w:rPr>
        <w:t xml:space="preserve">: </w:t>
      </w:r>
      <w:r>
        <w:rPr>
          <w:b/>
        </w:rPr>
        <w:t xml:space="preserve">UE initiated </w:t>
      </w:r>
      <w:r w:rsidR="00974E6D" w:rsidRPr="00C34A66">
        <w:rPr>
          <w:b/>
        </w:rPr>
        <w:t xml:space="preserve">CBRA is </w:t>
      </w:r>
      <w:r>
        <w:rPr>
          <w:b/>
        </w:rPr>
        <w:t>need when a serving cell is configured with two TAGs</w:t>
      </w:r>
      <w:r w:rsidR="00974E6D" w:rsidRPr="00C34A66">
        <w:rPr>
          <w:b/>
        </w:rPr>
        <w:t>.</w:t>
      </w:r>
    </w:p>
    <w:p w14:paraId="29F56265" w14:textId="7FCA2059" w:rsidR="00360467" w:rsidRDefault="00360467" w:rsidP="001F3F92">
      <w:r>
        <w:rPr>
          <w:rFonts w:hint="eastAsia"/>
        </w:rPr>
        <w:t>T</w:t>
      </w:r>
      <w:r>
        <w:t>he key question during post email [post122][0852] is whether any spec impact is foreseen for such UE initiated CBRA procedure.</w:t>
      </w:r>
    </w:p>
    <w:p w14:paraId="0847F5A4" w14:textId="53DCF957" w:rsidR="00A370E0" w:rsidRDefault="00A370E0" w:rsidP="001F3F92">
      <w:r>
        <w:lastRenderedPageBreak/>
        <w:t xml:space="preserve">For case 3 i.e. inter-cell case, someone may think UE can </w:t>
      </w:r>
      <w:r w:rsidR="00B930D4">
        <w:t>take similar approach as CFRA i.e. to chose one PRACH configuration associated with one PCI so that UE and network can have same understanding which TAG is addressed by the CBRA. Well first of all, the additional PRACH configuration is introduced to resolve CFRA issue in RAN1 i.e. it is not clear whether it can be also reused for CBRA. Even it can be, we think it is not necessary. For listed case a, the main purpose is to send something e.g. BSR to network, it doesn’t matter which TAG is recovered. For listed case b, it is the same case. So the easiest way is for UE always chose the PRACH resource relevant not to additional PCI. And based on the association between TCI state and TAG,UE and network know which TAG the CBRA is addressing.</w:t>
      </w:r>
      <w:r w:rsidR="00E87E6C">
        <w:t xml:space="preserve"> </w:t>
      </w:r>
      <w:r w:rsidR="00C27087">
        <w:t>Since network can’t differentiate legacy UE and new UE in this case, the associated TAG should be the TAG related to the legacy parameter i.e.</w:t>
      </w:r>
      <w:r w:rsidR="00C27087" w:rsidRPr="00A67DED">
        <w:t xml:space="preserve"> tag-Id</w:t>
      </w:r>
      <w:r w:rsidR="00C27087">
        <w:t>,</w:t>
      </w:r>
      <w:r w:rsidR="00C27087" w:rsidRPr="00A67DED">
        <w:t xml:space="preserve"> n-TimingAdvanceOffset</w:t>
      </w:r>
      <w:r w:rsidR="00C27087">
        <w:t xml:space="preserve"> but not </w:t>
      </w:r>
      <w:r w:rsidR="00C27087" w:rsidRPr="00A67DED">
        <w:t>tag-Id2</w:t>
      </w:r>
      <w:r w:rsidR="00C27087">
        <w:t xml:space="preserve"> and </w:t>
      </w:r>
      <w:r w:rsidR="00C27087" w:rsidRPr="00A67DED">
        <w:t>n-TimingAdvanceOffset2-r18</w:t>
      </w:r>
      <w:r w:rsidR="00C27087">
        <w:t>.</w:t>
      </w:r>
    </w:p>
    <w:p w14:paraId="00356583" w14:textId="73124D33" w:rsidR="00B930D4" w:rsidRPr="003126EE" w:rsidRDefault="00B930D4" w:rsidP="001F3F92">
      <w:pPr>
        <w:rPr>
          <w:b/>
        </w:rPr>
      </w:pPr>
      <w:r w:rsidRPr="003126EE">
        <w:rPr>
          <w:b/>
        </w:rPr>
        <w:t xml:space="preserve">Proposal </w:t>
      </w:r>
      <w:r w:rsidR="00A53E22">
        <w:rPr>
          <w:b/>
        </w:rPr>
        <w:t>6</w:t>
      </w:r>
      <w:r w:rsidRPr="003126EE">
        <w:rPr>
          <w:b/>
        </w:rPr>
        <w:t>: For inter-cell CBRA case, UE already chose legacy PRACH resource i.e. not associated with any additional PCI</w:t>
      </w:r>
    </w:p>
    <w:p w14:paraId="5135A1D3" w14:textId="623F8C7A" w:rsidR="00A53E22" w:rsidRPr="00A53E22" w:rsidRDefault="00DF270D" w:rsidP="001F3F92">
      <w:r>
        <w:t xml:space="preserve">For case 4 i.e. intra-cell case, during [post122][0852] email discussion, many companies prefer option 1 i.e. to split the SSB among TAG. First of all, we think this is not necessary. This is because </w:t>
      </w:r>
      <w:r w:rsidR="00147E13">
        <w:t>there is no additional PRACH resource configuration is introduced for intra-cell case in RAN1 i.e. only legacy PRACH resource can be used for CBRA. And because of this, from network point of view it can’t differentiate legacy UE and new UE supporting Rel18 feature until contention is resolved, which is too late</w:t>
      </w:r>
      <w:r w:rsidR="00A67DED">
        <w:t>. So whatever UE chose the preamble based on split of SSB to address corresponding TAG, network can’t know! So the natural way is always to address the TAG relevant to legacy parameter i.e.</w:t>
      </w:r>
      <w:r w:rsidR="00A67DED" w:rsidRPr="00A67DED">
        <w:t xml:space="preserve"> tag-Id</w:t>
      </w:r>
      <w:r w:rsidR="00A67DED">
        <w:t>,</w:t>
      </w:r>
      <w:r w:rsidR="00A67DED" w:rsidRPr="00A67DED">
        <w:t xml:space="preserve"> n-TimingAdvanceOffset</w:t>
      </w:r>
      <w:r w:rsidR="00A67DED">
        <w:t xml:space="preserve"> but not </w:t>
      </w:r>
      <w:r w:rsidR="00A67DED" w:rsidRPr="00A67DED">
        <w:t>tag-Id2</w:t>
      </w:r>
      <w:r w:rsidR="00A67DED">
        <w:t xml:space="preserve"> and </w:t>
      </w:r>
      <w:r w:rsidR="00A67DED" w:rsidRPr="00A67DED">
        <w:t>n-TimingAdvanceOffset2-r18</w:t>
      </w:r>
      <w:r w:rsidR="00A67DED">
        <w:t>. In such way no spec impact is foreseen and the solution is also aligned with inter-cell case.</w:t>
      </w:r>
    </w:p>
    <w:p w14:paraId="410C89AB" w14:textId="4E831FEC" w:rsidR="001B0791" w:rsidRDefault="001B0791" w:rsidP="001F3F92">
      <w:pPr>
        <w:rPr>
          <w:b/>
        </w:rPr>
      </w:pPr>
      <w:r w:rsidRPr="005D3889">
        <w:rPr>
          <w:rFonts w:hint="eastAsia"/>
          <w:b/>
        </w:rPr>
        <w:t>P</w:t>
      </w:r>
      <w:r w:rsidRPr="005D3889">
        <w:rPr>
          <w:b/>
        </w:rPr>
        <w:t xml:space="preserve">roposal </w:t>
      </w:r>
      <w:r w:rsidR="00A53E22">
        <w:rPr>
          <w:b/>
        </w:rPr>
        <w:t>7</w:t>
      </w:r>
      <w:r w:rsidRPr="005D3889">
        <w:rPr>
          <w:b/>
        </w:rPr>
        <w:t>: For</w:t>
      </w:r>
      <w:r w:rsidR="00C27087">
        <w:rPr>
          <w:b/>
        </w:rPr>
        <w:t xml:space="preserve"> both</w:t>
      </w:r>
      <w:r w:rsidR="00A67DED">
        <w:rPr>
          <w:b/>
        </w:rPr>
        <w:t xml:space="preserve"> inter-cell</w:t>
      </w:r>
      <w:r w:rsidRPr="005D3889">
        <w:rPr>
          <w:b/>
        </w:rPr>
        <w:t xml:space="preserve"> CBRA</w:t>
      </w:r>
      <w:r>
        <w:rPr>
          <w:b/>
        </w:rPr>
        <w:t>,</w:t>
      </w:r>
      <w:r w:rsidRPr="005D3889">
        <w:rPr>
          <w:b/>
        </w:rPr>
        <w:t xml:space="preserve"> </w:t>
      </w:r>
      <w:r>
        <w:rPr>
          <w:b/>
        </w:rPr>
        <w:t>UE</w:t>
      </w:r>
      <w:r w:rsidRPr="005D3889">
        <w:rPr>
          <w:b/>
        </w:rPr>
        <w:t xml:space="preserve"> choose</w:t>
      </w:r>
      <w:r w:rsidR="00D370DF">
        <w:rPr>
          <w:b/>
        </w:rPr>
        <w:t>s</w:t>
      </w:r>
      <w:r w:rsidR="00A67DED">
        <w:rPr>
          <w:b/>
        </w:rPr>
        <w:t xml:space="preserve"> legacy</w:t>
      </w:r>
      <w:r w:rsidRPr="005D3889">
        <w:rPr>
          <w:b/>
        </w:rPr>
        <w:t xml:space="preserve"> PRACH resource </w:t>
      </w:r>
      <w:r w:rsidR="00A67DED">
        <w:rPr>
          <w:b/>
        </w:rPr>
        <w:t xml:space="preserve">not </w:t>
      </w:r>
      <w:r>
        <w:rPr>
          <w:b/>
        </w:rPr>
        <w:t xml:space="preserve">associated </w:t>
      </w:r>
      <w:r w:rsidR="00A67DED">
        <w:rPr>
          <w:b/>
        </w:rPr>
        <w:t>additional PCI to transmit preamble</w:t>
      </w:r>
      <w:r w:rsidRPr="005D3889">
        <w:rPr>
          <w:b/>
        </w:rPr>
        <w:t>.</w:t>
      </w:r>
    </w:p>
    <w:p w14:paraId="2D1F0FB1" w14:textId="3908BB2B" w:rsidR="00C27087" w:rsidRDefault="00C27087" w:rsidP="001F3F92">
      <w:pPr>
        <w:rPr>
          <w:b/>
        </w:rPr>
      </w:pPr>
      <w:r>
        <w:rPr>
          <w:rFonts w:hint="eastAsia"/>
          <w:b/>
        </w:rPr>
        <w:t>P</w:t>
      </w:r>
      <w:r>
        <w:rPr>
          <w:b/>
        </w:rPr>
        <w:t xml:space="preserve">roposal </w:t>
      </w:r>
      <w:r w:rsidR="00A53E22">
        <w:rPr>
          <w:b/>
        </w:rPr>
        <w:t>8</w:t>
      </w:r>
      <w:r>
        <w:rPr>
          <w:b/>
        </w:rPr>
        <w:t xml:space="preserve">: </w:t>
      </w:r>
      <w:r w:rsidRPr="00007E00">
        <w:rPr>
          <w:b/>
        </w:rPr>
        <w:t>For intra-cell CBRA</w:t>
      </w:r>
      <w:r>
        <w:rPr>
          <w:b/>
        </w:rPr>
        <w:t>, UE choose legacy PRACH resource without differentiating SSB</w:t>
      </w:r>
    </w:p>
    <w:p w14:paraId="631A0765" w14:textId="0E59C3AD" w:rsidR="00A53E22" w:rsidRPr="00A53E22" w:rsidRDefault="00104567" w:rsidP="001F3F92">
      <w:pPr>
        <w:rPr>
          <w:b/>
        </w:rPr>
      </w:pPr>
      <w:r w:rsidRPr="00007E00">
        <w:rPr>
          <w:b/>
        </w:rPr>
        <w:t xml:space="preserve">Proposal </w:t>
      </w:r>
      <w:r w:rsidR="00A53E22">
        <w:rPr>
          <w:b/>
        </w:rPr>
        <w:t>9</w:t>
      </w:r>
      <w:r w:rsidRPr="00007E00">
        <w:rPr>
          <w:b/>
        </w:rPr>
        <w:t xml:space="preserve">: For </w:t>
      </w:r>
      <w:r w:rsidR="00C27087">
        <w:rPr>
          <w:b/>
        </w:rPr>
        <w:t xml:space="preserve">both </w:t>
      </w:r>
      <w:r w:rsidRPr="00007E00">
        <w:rPr>
          <w:b/>
        </w:rPr>
        <w:t>intra</w:t>
      </w:r>
      <w:r w:rsidR="00C27087">
        <w:rPr>
          <w:b/>
        </w:rPr>
        <w:t>/inter</w:t>
      </w:r>
      <w:r w:rsidRPr="00007E00">
        <w:rPr>
          <w:b/>
        </w:rPr>
        <w:t>-cell CBRA, the RACH procedure always address TAG which is related to legacy parameter tag-Id, n-TimingAdvanceOffset</w:t>
      </w:r>
    </w:p>
    <w:p w14:paraId="29F98C4C" w14:textId="785D0018" w:rsidR="00D40785" w:rsidRDefault="00D40785" w:rsidP="00D40785">
      <w:pPr>
        <w:pStyle w:val="1"/>
      </w:pPr>
      <w:r>
        <w:t>Conclusion</w:t>
      </w:r>
    </w:p>
    <w:p w14:paraId="57530ADF" w14:textId="77777777" w:rsidR="00FF2DE7" w:rsidRPr="0027009A" w:rsidRDefault="00FF2DE7" w:rsidP="00FF2DE7">
      <w:pPr>
        <w:rPr>
          <w:b/>
        </w:rPr>
      </w:pPr>
      <w:r w:rsidRPr="0008443B">
        <w:rPr>
          <w:b/>
        </w:rPr>
        <w:t>Proposal 1:</w:t>
      </w:r>
      <w:r>
        <w:rPr>
          <w:b/>
        </w:rPr>
        <w:t xml:space="preserve"> No configuration restriction is introduced for additional TAGs except that maximum number of TAGs per cell group is 4.</w:t>
      </w:r>
    </w:p>
    <w:p w14:paraId="1B6270DC" w14:textId="77777777" w:rsidR="00FF2DE7" w:rsidRDefault="00FF2DE7" w:rsidP="00FF2DE7">
      <w:pPr>
        <w:rPr>
          <w:b/>
        </w:rPr>
      </w:pPr>
      <w:r w:rsidRPr="00A928D5">
        <w:rPr>
          <w:b/>
        </w:rPr>
        <w:t xml:space="preserve">Proposal </w:t>
      </w:r>
      <w:r>
        <w:rPr>
          <w:b/>
        </w:rPr>
        <w:t>2</w:t>
      </w:r>
      <w:r w:rsidRPr="00A928D5">
        <w:rPr>
          <w:b/>
        </w:rPr>
        <w:t xml:space="preserve">: </w:t>
      </w:r>
      <w:r>
        <w:rPr>
          <w:b/>
        </w:rPr>
        <w:t>When TAT timer of</w:t>
      </w:r>
      <w:r w:rsidRPr="00A928D5">
        <w:rPr>
          <w:b/>
        </w:rPr>
        <w:t xml:space="preserve"> both </w:t>
      </w:r>
      <w:r>
        <w:rPr>
          <w:b/>
        </w:rPr>
        <w:t>S</w:t>
      </w:r>
      <w:r w:rsidRPr="00A928D5">
        <w:rPr>
          <w:b/>
        </w:rPr>
        <w:t xml:space="preserve">TAGs </w:t>
      </w:r>
      <w:r>
        <w:rPr>
          <w:b/>
        </w:rPr>
        <w:t>of a serving cell expires</w:t>
      </w:r>
      <w:r w:rsidRPr="00A928D5">
        <w:rPr>
          <w:b/>
        </w:rPr>
        <w:t>, legacy procedure applies</w:t>
      </w:r>
    </w:p>
    <w:p w14:paraId="2A9078D9" w14:textId="77777777" w:rsidR="00FF2DE7" w:rsidRPr="00DD2CB9" w:rsidRDefault="00FF2DE7" w:rsidP="00FF2DE7">
      <w:pPr>
        <w:rPr>
          <w:b/>
        </w:rPr>
      </w:pPr>
      <w:r>
        <w:rPr>
          <w:b/>
        </w:rPr>
        <w:t>Proposal 3: When TAT timer of one of the two STAGs of a serving cell expires, UL and/or DL operation relevant to the concerned TRP and STAG is applied, which is FFS.</w:t>
      </w:r>
    </w:p>
    <w:p w14:paraId="1F9FD448" w14:textId="77777777" w:rsidR="00FF2DE7" w:rsidRDefault="00FF2DE7" w:rsidP="00FF2DE7">
      <w:pPr>
        <w:rPr>
          <w:b/>
        </w:rPr>
      </w:pPr>
      <w:r w:rsidRPr="00D83D33">
        <w:rPr>
          <w:b/>
        </w:rPr>
        <w:t xml:space="preserve">Proposal 4: When another TAG is introduced for the </w:t>
      </w:r>
      <w:r>
        <w:t>SpCell</w:t>
      </w:r>
      <w:r w:rsidRPr="00D83D33">
        <w:rPr>
          <w:b/>
        </w:rPr>
        <w:t xml:space="preserve">, this TAG is taken as another PTAG (called secondary PTAG). </w:t>
      </w:r>
    </w:p>
    <w:p w14:paraId="519F96FC" w14:textId="7F67296C" w:rsidR="00FF2DE7" w:rsidRDefault="00FF2DE7" w:rsidP="00FF2DE7">
      <w:pPr>
        <w:rPr>
          <w:b/>
        </w:rPr>
      </w:pPr>
      <w:r w:rsidRPr="00D83D33">
        <w:rPr>
          <w:b/>
        </w:rPr>
        <w:t>Proposal 5: The legacy procedure relevant to PTAG applies only when</w:t>
      </w:r>
      <w:r>
        <w:rPr>
          <w:b/>
        </w:rPr>
        <w:t xml:space="preserve"> TAT timer of</w:t>
      </w:r>
      <w:r w:rsidRPr="00D83D33">
        <w:rPr>
          <w:b/>
        </w:rPr>
        <w:t xml:space="preserve"> both PTAG and secondary PTAG </w:t>
      </w:r>
      <w:r>
        <w:rPr>
          <w:b/>
        </w:rPr>
        <w:t>expires, o</w:t>
      </w:r>
      <w:r w:rsidRPr="00D83D33">
        <w:rPr>
          <w:b/>
        </w:rPr>
        <w:t xml:space="preserve">therwise proposal </w:t>
      </w:r>
      <w:r>
        <w:rPr>
          <w:b/>
        </w:rPr>
        <w:t>3</w:t>
      </w:r>
      <w:r w:rsidRPr="00D83D33">
        <w:rPr>
          <w:b/>
        </w:rPr>
        <w:t xml:space="preserve"> </w:t>
      </w:r>
      <w:r>
        <w:rPr>
          <w:b/>
        </w:rPr>
        <w:t>can be also applied for SpCell</w:t>
      </w:r>
      <w:r w:rsidRPr="00D83D33">
        <w:rPr>
          <w:b/>
        </w:rPr>
        <w:t>.</w:t>
      </w:r>
    </w:p>
    <w:p w14:paraId="33AD01EE" w14:textId="77777777" w:rsidR="002A0C29" w:rsidRPr="00E60E97" w:rsidRDefault="002A0C29" w:rsidP="00FF2DE7">
      <w:pPr>
        <w:rPr>
          <w:rFonts w:hint="eastAsia"/>
        </w:rPr>
      </w:pPr>
      <w:bookmarkStart w:id="5" w:name="_GoBack"/>
      <w:bookmarkEnd w:id="5"/>
    </w:p>
    <w:p w14:paraId="5507D1E8" w14:textId="77777777" w:rsidR="00FF2DE7" w:rsidRPr="00565D40" w:rsidRDefault="00FF2DE7" w:rsidP="00FF2DE7">
      <w:pPr>
        <w:rPr>
          <w:b/>
        </w:rPr>
      </w:pPr>
      <w:r w:rsidRPr="00565D40">
        <w:rPr>
          <w:b/>
        </w:rPr>
        <w:t>Observation</w:t>
      </w:r>
      <w:r>
        <w:rPr>
          <w:b/>
        </w:rPr>
        <w:t xml:space="preserve"> 1</w:t>
      </w:r>
      <w:r w:rsidRPr="00565D40">
        <w:rPr>
          <w:b/>
        </w:rPr>
        <w:t>: For PDCCH order triggered CFRA on inter-cell case, no further spec impact is foreseen.</w:t>
      </w:r>
    </w:p>
    <w:p w14:paraId="070AD5DD" w14:textId="77777777" w:rsidR="00FF2DE7" w:rsidRPr="00565D40" w:rsidRDefault="00FF2DE7" w:rsidP="00FF2DE7">
      <w:pPr>
        <w:rPr>
          <w:b/>
        </w:rPr>
      </w:pPr>
      <w:r w:rsidRPr="00565D40">
        <w:rPr>
          <w:b/>
        </w:rPr>
        <w:t>Observation</w:t>
      </w:r>
      <w:r>
        <w:rPr>
          <w:b/>
        </w:rPr>
        <w:t xml:space="preserve"> 2</w:t>
      </w:r>
      <w:r w:rsidRPr="00565D40">
        <w:rPr>
          <w:b/>
        </w:rPr>
        <w:t>: For PDCCH order triggered CFRA on int</w:t>
      </w:r>
      <w:r>
        <w:rPr>
          <w:b/>
        </w:rPr>
        <w:t>ra</w:t>
      </w:r>
      <w:r w:rsidRPr="00565D40">
        <w:rPr>
          <w:b/>
        </w:rPr>
        <w:t>-cell case, no further spec impact is foreseen</w:t>
      </w:r>
      <w:r>
        <w:rPr>
          <w:b/>
        </w:rPr>
        <w:t xml:space="preserve"> from RAN2 point of view</w:t>
      </w:r>
      <w:r w:rsidRPr="00565D40">
        <w:rPr>
          <w:b/>
        </w:rPr>
        <w:t>.</w:t>
      </w:r>
      <w:r>
        <w:rPr>
          <w:b/>
        </w:rPr>
        <w:t xml:space="preserve"> But final decision could be made in RAN1.</w:t>
      </w:r>
    </w:p>
    <w:p w14:paraId="3B96DD7E" w14:textId="77777777" w:rsidR="00FF2DE7" w:rsidRPr="00935515" w:rsidRDefault="00FF2DE7" w:rsidP="00FF2DE7">
      <w:pPr>
        <w:rPr>
          <w:b/>
        </w:rPr>
      </w:pPr>
      <w:r>
        <w:rPr>
          <w:b/>
        </w:rPr>
        <w:t>Observation 3</w:t>
      </w:r>
      <w:r w:rsidRPr="00C34A66">
        <w:rPr>
          <w:b/>
        </w:rPr>
        <w:t xml:space="preserve">: </w:t>
      </w:r>
      <w:r>
        <w:rPr>
          <w:b/>
        </w:rPr>
        <w:t xml:space="preserve">UE initiated </w:t>
      </w:r>
      <w:r w:rsidRPr="00C34A66">
        <w:rPr>
          <w:b/>
        </w:rPr>
        <w:t xml:space="preserve">CBRA is </w:t>
      </w:r>
      <w:r>
        <w:rPr>
          <w:b/>
        </w:rPr>
        <w:t>need when a serving cell is configured with two TAGs</w:t>
      </w:r>
      <w:r w:rsidRPr="00C34A66">
        <w:rPr>
          <w:b/>
        </w:rPr>
        <w:t>.</w:t>
      </w:r>
    </w:p>
    <w:p w14:paraId="38465580" w14:textId="77777777" w:rsidR="00FF2DE7" w:rsidRPr="003126EE" w:rsidRDefault="00FF2DE7" w:rsidP="00FF2DE7">
      <w:pPr>
        <w:rPr>
          <w:b/>
        </w:rPr>
      </w:pPr>
      <w:r w:rsidRPr="003126EE">
        <w:rPr>
          <w:b/>
        </w:rPr>
        <w:t xml:space="preserve">Proposal </w:t>
      </w:r>
      <w:r>
        <w:rPr>
          <w:b/>
        </w:rPr>
        <w:t>6</w:t>
      </w:r>
      <w:r w:rsidRPr="003126EE">
        <w:rPr>
          <w:b/>
        </w:rPr>
        <w:t>: For inter-cell CBRA case, UE already chose legacy PRACH resource i.e. not associated with any additional PCI</w:t>
      </w:r>
    </w:p>
    <w:p w14:paraId="245BC0B7" w14:textId="77777777" w:rsidR="00FF2DE7" w:rsidRDefault="00FF2DE7" w:rsidP="00FF2DE7">
      <w:pPr>
        <w:rPr>
          <w:b/>
        </w:rPr>
      </w:pPr>
      <w:r w:rsidRPr="005D3889">
        <w:rPr>
          <w:rFonts w:hint="eastAsia"/>
          <w:b/>
        </w:rPr>
        <w:t>P</w:t>
      </w:r>
      <w:r w:rsidRPr="005D3889">
        <w:rPr>
          <w:b/>
        </w:rPr>
        <w:t xml:space="preserve">roposal </w:t>
      </w:r>
      <w:r>
        <w:rPr>
          <w:b/>
        </w:rPr>
        <w:t>7</w:t>
      </w:r>
      <w:r w:rsidRPr="005D3889">
        <w:rPr>
          <w:b/>
        </w:rPr>
        <w:t>: For</w:t>
      </w:r>
      <w:r>
        <w:rPr>
          <w:b/>
        </w:rPr>
        <w:t xml:space="preserve"> both inter-cell</w:t>
      </w:r>
      <w:r w:rsidRPr="005D3889">
        <w:rPr>
          <w:b/>
        </w:rPr>
        <w:t xml:space="preserve"> CBRA</w:t>
      </w:r>
      <w:r>
        <w:rPr>
          <w:b/>
        </w:rPr>
        <w:t>,</w:t>
      </w:r>
      <w:r w:rsidRPr="005D3889">
        <w:rPr>
          <w:b/>
        </w:rPr>
        <w:t xml:space="preserve"> </w:t>
      </w:r>
      <w:r>
        <w:rPr>
          <w:b/>
        </w:rPr>
        <w:t>UE</w:t>
      </w:r>
      <w:r w:rsidRPr="005D3889">
        <w:rPr>
          <w:b/>
        </w:rPr>
        <w:t xml:space="preserve"> choose</w:t>
      </w:r>
      <w:r>
        <w:rPr>
          <w:b/>
        </w:rPr>
        <w:t>s legacy</w:t>
      </w:r>
      <w:r w:rsidRPr="005D3889">
        <w:rPr>
          <w:b/>
        </w:rPr>
        <w:t xml:space="preserve"> PRACH resource </w:t>
      </w:r>
      <w:r>
        <w:rPr>
          <w:b/>
        </w:rPr>
        <w:t>not associated additional PCI to transmit preamble</w:t>
      </w:r>
      <w:r w:rsidRPr="005D3889">
        <w:rPr>
          <w:b/>
        </w:rPr>
        <w:t>.</w:t>
      </w:r>
    </w:p>
    <w:p w14:paraId="6EFD0139" w14:textId="77777777" w:rsidR="00FF2DE7" w:rsidRDefault="00FF2DE7" w:rsidP="00FF2DE7">
      <w:pPr>
        <w:rPr>
          <w:b/>
        </w:rPr>
      </w:pPr>
      <w:r>
        <w:rPr>
          <w:rFonts w:hint="eastAsia"/>
          <w:b/>
        </w:rPr>
        <w:t>P</w:t>
      </w:r>
      <w:r>
        <w:rPr>
          <w:b/>
        </w:rPr>
        <w:t xml:space="preserve">roposal 8: </w:t>
      </w:r>
      <w:r w:rsidRPr="00007E00">
        <w:rPr>
          <w:b/>
        </w:rPr>
        <w:t>For intra-cell CBRA</w:t>
      </w:r>
      <w:r>
        <w:rPr>
          <w:b/>
        </w:rPr>
        <w:t>, UE choose legacy PRACH resource without differentiating SSB</w:t>
      </w:r>
    </w:p>
    <w:p w14:paraId="22D98897" w14:textId="215CC7BC" w:rsidR="00A53E22" w:rsidRPr="002A0C29" w:rsidRDefault="00FF2DE7" w:rsidP="00A53E22">
      <w:pPr>
        <w:rPr>
          <w:rFonts w:hint="eastAsia"/>
          <w:b/>
        </w:rPr>
      </w:pPr>
      <w:r w:rsidRPr="00007E00">
        <w:rPr>
          <w:b/>
        </w:rPr>
        <w:t xml:space="preserve">Proposal </w:t>
      </w:r>
      <w:r>
        <w:rPr>
          <w:b/>
        </w:rPr>
        <w:t>9</w:t>
      </w:r>
      <w:r w:rsidRPr="00007E00">
        <w:rPr>
          <w:b/>
        </w:rPr>
        <w:t xml:space="preserve">: For </w:t>
      </w:r>
      <w:r>
        <w:rPr>
          <w:b/>
        </w:rPr>
        <w:t xml:space="preserve">both </w:t>
      </w:r>
      <w:r w:rsidRPr="00007E00">
        <w:rPr>
          <w:b/>
        </w:rPr>
        <w:t>intra</w:t>
      </w:r>
      <w:r>
        <w:rPr>
          <w:b/>
        </w:rPr>
        <w:t>/inter</w:t>
      </w:r>
      <w:r w:rsidRPr="00007E00">
        <w:rPr>
          <w:b/>
        </w:rPr>
        <w:t>-cell CBRA, the RACH procedure always address TAG which is related to legacy parameter tag-Id, n-TimingAdvanceOffset</w:t>
      </w:r>
    </w:p>
    <w:p w14:paraId="2CB616F5" w14:textId="77777777"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lastRenderedPageBreak/>
        <w:t>Reference</w:t>
      </w:r>
      <w:bookmarkEnd w:id="7"/>
      <w:bookmarkEnd w:id="8"/>
      <w:bookmarkEnd w:id="9"/>
    </w:p>
    <w:p w14:paraId="608DE026" w14:textId="03D8791C" w:rsidR="004B1D5B" w:rsidRPr="00FE5D46" w:rsidRDefault="004B1D5B" w:rsidP="004B1D5B">
      <w:pPr>
        <w:pStyle w:val="Reference"/>
        <w:jc w:val="left"/>
      </w:pPr>
      <w:r w:rsidRPr="00FE5D46">
        <w:t>R2-2304342 LS on 2TA for multi-DCI multi-TRP</w:t>
      </w:r>
    </w:p>
    <w:p w14:paraId="3DDCEDD1" w14:textId="77777777" w:rsidR="004B1D5B" w:rsidRPr="00FE5D46" w:rsidRDefault="004B1D5B" w:rsidP="004B1D5B">
      <w:pPr>
        <w:pStyle w:val="Reference"/>
        <w:jc w:val="left"/>
      </w:pPr>
      <w:r w:rsidRPr="00FE5D46">
        <w:t>R1-2306249 Reply on LS 2TA for multi-DCI multi-TRP</w:t>
      </w:r>
    </w:p>
    <w:p w14:paraId="43C56713" w14:textId="0B297792" w:rsidR="00450C31" w:rsidRPr="004B1D5B" w:rsidRDefault="004B1D5B" w:rsidP="004B1D5B">
      <w:pPr>
        <w:pStyle w:val="Doc-text2"/>
        <w:ind w:left="0" w:firstLine="0"/>
        <w:rPr>
          <w:rFonts w:eastAsia="宋体"/>
          <w:lang w:eastAsia="zh-CN"/>
        </w:rPr>
      </w:pPr>
      <w:r>
        <w:rPr>
          <w:rFonts w:eastAsia="宋体" w:hint="eastAsia"/>
          <w:lang w:eastAsia="zh-CN"/>
        </w:rPr>
        <w:t>[</w:t>
      </w:r>
      <w:r>
        <w:rPr>
          <w:rFonts w:eastAsia="宋体"/>
          <w:lang w:eastAsia="zh-CN"/>
        </w:rPr>
        <w:t xml:space="preserve">3]   </w:t>
      </w:r>
      <w:r w:rsidRPr="004B1D5B">
        <w:rPr>
          <w:rFonts w:eastAsia="宋体"/>
          <w:lang w:eastAsia="zh-CN"/>
        </w:rPr>
        <w:t>R1-2306271 Consolidated higher layers parameter list for Rel-18</w:t>
      </w:r>
    </w:p>
    <w:p w14:paraId="3EF9E847" w14:textId="1B7DCA45" w:rsidR="00D83D33" w:rsidRPr="00450C31" w:rsidRDefault="00D83D33" w:rsidP="008874AD"/>
    <w:sectPr w:rsidR="00D83D33" w:rsidRPr="00450C31">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68108" w14:textId="77777777" w:rsidR="00512071" w:rsidRDefault="00512071" w:rsidP="00536369">
      <w:pPr>
        <w:spacing w:after="0"/>
      </w:pPr>
      <w:r>
        <w:separator/>
      </w:r>
    </w:p>
  </w:endnote>
  <w:endnote w:type="continuationSeparator" w:id="0">
    <w:p w14:paraId="33D4269D" w14:textId="77777777" w:rsidR="00512071" w:rsidRDefault="00512071"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F401" w14:textId="77777777" w:rsidR="00622E9C" w:rsidRDefault="00622E9C">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465CF" w14:textId="77777777" w:rsidR="00512071" w:rsidRDefault="00512071" w:rsidP="00536369">
      <w:pPr>
        <w:spacing w:after="0"/>
      </w:pPr>
      <w:r>
        <w:separator/>
      </w:r>
    </w:p>
  </w:footnote>
  <w:footnote w:type="continuationSeparator" w:id="0">
    <w:p w14:paraId="3E213260" w14:textId="77777777" w:rsidR="00512071" w:rsidRDefault="00512071"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1F343E7"/>
    <w:multiLevelType w:val="hybridMultilevel"/>
    <w:tmpl w:val="A4A4A866"/>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9"/>
  </w:num>
  <w:num w:numId="4">
    <w:abstractNumId w:val="17"/>
  </w:num>
  <w:num w:numId="5">
    <w:abstractNumId w:val="9"/>
  </w:num>
  <w:num w:numId="6">
    <w:abstractNumId w:val="2"/>
  </w:num>
  <w:num w:numId="7">
    <w:abstractNumId w:val="0"/>
  </w:num>
  <w:num w:numId="8">
    <w:abstractNumId w:val="0"/>
  </w:num>
  <w:num w:numId="9">
    <w:abstractNumId w:val="0"/>
  </w:num>
  <w:num w:numId="10">
    <w:abstractNumId w:val="0"/>
  </w:num>
  <w:num w:numId="11">
    <w:abstractNumId w:val="13"/>
  </w:num>
  <w:num w:numId="12">
    <w:abstractNumId w:val="15"/>
  </w:num>
  <w:num w:numId="13">
    <w:abstractNumId w:val="22"/>
  </w:num>
  <w:num w:numId="14">
    <w:abstractNumId w:val="7"/>
  </w:num>
  <w:num w:numId="15">
    <w:abstractNumId w:val="8"/>
  </w:num>
  <w:num w:numId="16">
    <w:abstractNumId w:val="11"/>
  </w:num>
  <w:num w:numId="17">
    <w:abstractNumId w:val="4"/>
  </w:num>
  <w:num w:numId="18">
    <w:abstractNumId w:val="10"/>
  </w:num>
  <w:num w:numId="19">
    <w:abstractNumId w:val="6"/>
  </w:num>
  <w:num w:numId="20">
    <w:abstractNumId w:val="21"/>
  </w:num>
  <w:num w:numId="21">
    <w:abstractNumId w:val="2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5"/>
  </w:num>
  <w:num w:numId="38">
    <w:abstractNumId w:val="23"/>
  </w:num>
  <w:num w:numId="39">
    <w:abstractNumId w:val="1"/>
  </w:num>
  <w:num w:numId="40">
    <w:abstractNumId w:val="0"/>
  </w:num>
  <w:num w:numId="41">
    <w:abstractNumId w:val="16"/>
  </w:num>
  <w:num w:numId="42">
    <w:abstractNumId w:val="12"/>
  </w:num>
  <w:num w:numId="43">
    <w:abstractNumId w:val="18"/>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2FBC"/>
    <w:rsid w:val="000231F4"/>
    <w:rsid w:val="000232D7"/>
    <w:rsid w:val="00032C70"/>
    <w:rsid w:val="00034A58"/>
    <w:rsid w:val="0004654C"/>
    <w:rsid w:val="00047FCB"/>
    <w:rsid w:val="00050304"/>
    <w:rsid w:val="00055F2B"/>
    <w:rsid w:val="00055F63"/>
    <w:rsid w:val="0005623C"/>
    <w:rsid w:val="00064E85"/>
    <w:rsid w:val="00073191"/>
    <w:rsid w:val="00074E88"/>
    <w:rsid w:val="0008018C"/>
    <w:rsid w:val="000808F0"/>
    <w:rsid w:val="000831A2"/>
    <w:rsid w:val="0008443B"/>
    <w:rsid w:val="000911BD"/>
    <w:rsid w:val="00095787"/>
    <w:rsid w:val="000A064F"/>
    <w:rsid w:val="000B361C"/>
    <w:rsid w:val="000B5C7C"/>
    <w:rsid w:val="000C30EA"/>
    <w:rsid w:val="000C4CE6"/>
    <w:rsid w:val="000D5F82"/>
    <w:rsid w:val="000F219D"/>
    <w:rsid w:val="000F315E"/>
    <w:rsid w:val="000F6252"/>
    <w:rsid w:val="00100C09"/>
    <w:rsid w:val="00104494"/>
    <w:rsid w:val="00104567"/>
    <w:rsid w:val="00105717"/>
    <w:rsid w:val="0011117C"/>
    <w:rsid w:val="001169EB"/>
    <w:rsid w:val="00121393"/>
    <w:rsid w:val="001228B8"/>
    <w:rsid w:val="001275FF"/>
    <w:rsid w:val="00130A47"/>
    <w:rsid w:val="00140AC2"/>
    <w:rsid w:val="001438BD"/>
    <w:rsid w:val="00145580"/>
    <w:rsid w:val="00145697"/>
    <w:rsid w:val="00147E13"/>
    <w:rsid w:val="001510B9"/>
    <w:rsid w:val="0015677A"/>
    <w:rsid w:val="00157936"/>
    <w:rsid w:val="00166FBD"/>
    <w:rsid w:val="001714CE"/>
    <w:rsid w:val="00171D49"/>
    <w:rsid w:val="00177DFA"/>
    <w:rsid w:val="001831ED"/>
    <w:rsid w:val="00184361"/>
    <w:rsid w:val="00193848"/>
    <w:rsid w:val="001A088F"/>
    <w:rsid w:val="001A0C3E"/>
    <w:rsid w:val="001A14E0"/>
    <w:rsid w:val="001A2045"/>
    <w:rsid w:val="001A225F"/>
    <w:rsid w:val="001A5ED9"/>
    <w:rsid w:val="001A7347"/>
    <w:rsid w:val="001B0791"/>
    <w:rsid w:val="001B2B5E"/>
    <w:rsid w:val="001B307A"/>
    <w:rsid w:val="001C799F"/>
    <w:rsid w:val="001D0199"/>
    <w:rsid w:val="001D0615"/>
    <w:rsid w:val="001D082E"/>
    <w:rsid w:val="001D12AE"/>
    <w:rsid w:val="001D62C5"/>
    <w:rsid w:val="001E0E7E"/>
    <w:rsid w:val="001E1174"/>
    <w:rsid w:val="001E2019"/>
    <w:rsid w:val="001E26D3"/>
    <w:rsid w:val="001E3113"/>
    <w:rsid w:val="001E4325"/>
    <w:rsid w:val="001F0935"/>
    <w:rsid w:val="001F2C34"/>
    <w:rsid w:val="001F3D78"/>
    <w:rsid w:val="001F3F92"/>
    <w:rsid w:val="001F40C6"/>
    <w:rsid w:val="001F570C"/>
    <w:rsid w:val="0020115F"/>
    <w:rsid w:val="00201570"/>
    <w:rsid w:val="00201A66"/>
    <w:rsid w:val="00204C4E"/>
    <w:rsid w:val="00207241"/>
    <w:rsid w:val="002108AF"/>
    <w:rsid w:val="00210CD6"/>
    <w:rsid w:val="00212875"/>
    <w:rsid w:val="0021449E"/>
    <w:rsid w:val="00216B38"/>
    <w:rsid w:val="00223B76"/>
    <w:rsid w:val="00223DC6"/>
    <w:rsid w:val="00224997"/>
    <w:rsid w:val="00226DED"/>
    <w:rsid w:val="00227822"/>
    <w:rsid w:val="00232E0E"/>
    <w:rsid w:val="0023485B"/>
    <w:rsid w:val="00237EAA"/>
    <w:rsid w:val="00246453"/>
    <w:rsid w:val="00264D73"/>
    <w:rsid w:val="002661D0"/>
    <w:rsid w:val="0027009A"/>
    <w:rsid w:val="00275F1C"/>
    <w:rsid w:val="0027685B"/>
    <w:rsid w:val="00277306"/>
    <w:rsid w:val="00285D5C"/>
    <w:rsid w:val="0028606C"/>
    <w:rsid w:val="002876C9"/>
    <w:rsid w:val="00290959"/>
    <w:rsid w:val="002910A8"/>
    <w:rsid w:val="00291286"/>
    <w:rsid w:val="00292F40"/>
    <w:rsid w:val="00297351"/>
    <w:rsid w:val="00297D53"/>
    <w:rsid w:val="002A0C29"/>
    <w:rsid w:val="002A0E25"/>
    <w:rsid w:val="002A4426"/>
    <w:rsid w:val="002A60D4"/>
    <w:rsid w:val="002B21A5"/>
    <w:rsid w:val="002B29FF"/>
    <w:rsid w:val="002B2FAE"/>
    <w:rsid w:val="002B3A81"/>
    <w:rsid w:val="002B48D5"/>
    <w:rsid w:val="002B705F"/>
    <w:rsid w:val="002C327A"/>
    <w:rsid w:val="002D1BBF"/>
    <w:rsid w:val="002D35D9"/>
    <w:rsid w:val="002D3DBB"/>
    <w:rsid w:val="002D5158"/>
    <w:rsid w:val="002E09E6"/>
    <w:rsid w:val="002E2528"/>
    <w:rsid w:val="002F64DA"/>
    <w:rsid w:val="002F728A"/>
    <w:rsid w:val="002F7A15"/>
    <w:rsid w:val="003044D4"/>
    <w:rsid w:val="00305085"/>
    <w:rsid w:val="0030724E"/>
    <w:rsid w:val="003102C5"/>
    <w:rsid w:val="00311FBF"/>
    <w:rsid w:val="003126EE"/>
    <w:rsid w:val="0031620E"/>
    <w:rsid w:val="003173B5"/>
    <w:rsid w:val="00320C4F"/>
    <w:rsid w:val="00321A0E"/>
    <w:rsid w:val="00321E4D"/>
    <w:rsid w:val="00323052"/>
    <w:rsid w:val="003245E8"/>
    <w:rsid w:val="0032564B"/>
    <w:rsid w:val="003276EA"/>
    <w:rsid w:val="00336047"/>
    <w:rsid w:val="00343D48"/>
    <w:rsid w:val="00345130"/>
    <w:rsid w:val="00353EF1"/>
    <w:rsid w:val="00360467"/>
    <w:rsid w:val="00360626"/>
    <w:rsid w:val="0036136C"/>
    <w:rsid w:val="00361911"/>
    <w:rsid w:val="0036282A"/>
    <w:rsid w:val="00365EAB"/>
    <w:rsid w:val="0037328E"/>
    <w:rsid w:val="00373F98"/>
    <w:rsid w:val="00374CD8"/>
    <w:rsid w:val="003761FB"/>
    <w:rsid w:val="00377FB0"/>
    <w:rsid w:val="0038096F"/>
    <w:rsid w:val="0038352A"/>
    <w:rsid w:val="0038392B"/>
    <w:rsid w:val="00383F0C"/>
    <w:rsid w:val="003861C4"/>
    <w:rsid w:val="003870B6"/>
    <w:rsid w:val="00392A49"/>
    <w:rsid w:val="00395F05"/>
    <w:rsid w:val="00397842"/>
    <w:rsid w:val="003A05C0"/>
    <w:rsid w:val="003B298B"/>
    <w:rsid w:val="003B3FC7"/>
    <w:rsid w:val="003B51C5"/>
    <w:rsid w:val="003B6AAD"/>
    <w:rsid w:val="003C14B0"/>
    <w:rsid w:val="003C4B87"/>
    <w:rsid w:val="003D09D1"/>
    <w:rsid w:val="003D43B2"/>
    <w:rsid w:val="003D5447"/>
    <w:rsid w:val="003E138E"/>
    <w:rsid w:val="003E4A07"/>
    <w:rsid w:val="003E6FA7"/>
    <w:rsid w:val="003F0277"/>
    <w:rsid w:val="003F2CDF"/>
    <w:rsid w:val="00401053"/>
    <w:rsid w:val="004019D0"/>
    <w:rsid w:val="004039DA"/>
    <w:rsid w:val="004132C8"/>
    <w:rsid w:val="00415EEF"/>
    <w:rsid w:val="00416759"/>
    <w:rsid w:val="00424078"/>
    <w:rsid w:val="0042549E"/>
    <w:rsid w:val="0042738B"/>
    <w:rsid w:val="00427429"/>
    <w:rsid w:val="004275C4"/>
    <w:rsid w:val="00430D21"/>
    <w:rsid w:val="004312D4"/>
    <w:rsid w:val="00432090"/>
    <w:rsid w:val="0043289B"/>
    <w:rsid w:val="00434CFC"/>
    <w:rsid w:val="00440CFE"/>
    <w:rsid w:val="00441013"/>
    <w:rsid w:val="004438A8"/>
    <w:rsid w:val="00450C31"/>
    <w:rsid w:val="00453442"/>
    <w:rsid w:val="00457853"/>
    <w:rsid w:val="004629A2"/>
    <w:rsid w:val="004642FB"/>
    <w:rsid w:val="004665B7"/>
    <w:rsid w:val="00466AB3"/>
    <w:rsid w:val="00467E9B"/>
    <w:rsid w:val="0047600D"/>
    <w:rsid w:val="00477B91"/>
    <w:rsid w:val="00482027"/>
    <w:rsid w:val="00491647"/>
    <w:rsid w:val="00496D3A"/>
    <w:rsid w:val="00497525"/>
    <w:rsid w:val="004A041D"/>
    <w:rsid w:val="004A0D2B"/>
    <w:rsid w:val="004A18F4"/>
    <w:rsid w:val="004A2F76"/>
    <w:rsid w:val="004A5980"/>
    <w:rsid w:val="004A5EE0"/>
    <w:rsid w:val="004A620A"/>
    <w:rsid w:val="004B03D5"/>
    <w:rsid w:val="004B1D5B"/>
    <w:rsid w:val="004B4928"/>
    <w:rsid w:val="004B7344"/>
    <w:rsid w:val="004C029E"/>
    <w:rsid w:val="004C15DD"/>
    <w:rsid w:val="004C3E09"/>
    <w:rsid w:val="004C7961"/>
    <w:rsid w:val="004D1C84"/>
    <w:rsid w:val="004D23CD"/>
    <w:rsid w:val="004D7404"/>
    <w:rsid w:val="004E6AB4"/>
    <w:rsid w:val="004F2442"/>
    <w:rsid w:val="004F52CD"/>
    <w:rsid w:val="004F7A1A"/>
    <w:rsid w:val="005003F0"/>
    <w:rsid w:val="00501B4C"/>
    <w:rsid w:val="005044C4"/>
    <w:rsid w:val="00512071"/>
    <w:rsid w:val="0051619D"/>
    <w:rsid w:val="00522676"/>
    <w:rsid w:val="00523B29"/>
    <w:rsid w:val="00524E4B"/>
    <w:rsid w:val="0053013A"/>
    <w:rsid w:val="00536369"/>
    <w:rsid w:val="005369BF"/>
    <w:rsid w:val="00536EEA"/>
    <w:rsid w:val="0053718F"/>
    <w:rsid w:val="00552193"/>
    <w:rsid w:val="005558CC"/>
    <w:rsid w:val="005567E8"/>
    <w:rsid w:val="00557DA3"/>
    <w:rsid w:val="005601F5"/>
    <w:rsid w:val="005635D8"/>
    <w:rsid w:val="00564F93"/>
    <w:rsid w:val="00565D40"/>
    <w:rsid w:val="005673F9"/>
    <w:rsid w:val="00574BF0"/>
    <w:rsid w:val="005758D7"/>
    <w:rsid w:val="005763F0"/>
    <w:rsid w:val="005766C5"/>
    <w:rsid w:val="00576BD6"/>
    <w:rsid w:val="00577204"/>
    <w:rsid w:val="0058252C"/>
    <w:rsid w:val="00582EAA"/>
    <w:rsid w:val="00583447"/>
    <w:rsid w:val="00585EC1"/>
    <w:rsid w:val="00587557"/>
    <w:rsid w:val="005910DB"/>
    <w:rsid w:val="005932DB"/>
    <w:rsid w:val="005A0ABA"/>
    <w:rsid w:val="005A0BAD"/>
    <w:rsid w:val="005A2485"/>
    <w:rsid w:val="005A3AE0"/>
    <w:rsid w:val="005A4524"/>
    <w:rsid w:val="005A4BC6"/>
    <w:rsid w:val="005B098A"/>
    <w:rsid w:val="005B0AFE"/>
    <w:rsid w:val="005B254F"/>
    <w:rsid w:val="005B257A"/>
    <w:rsid w:val="005B3B9E"/>
    <w:rsid w:val="005B512A"/>
    <w:rsid w:val="005B53DF"/>
    <w:rsid w:val="005B62CB"/>
    <w:rsid w:val="005B7CD2"/>
    <w:rsid w:val="005C3150"/>
    <w:rsid w:val="005D3889"/>
    <w:rsid w:val="005E1DEA"/>
    <w:rsid w:val="00606C99"/>
    <w:rsid w:val="0061099F"/>
    <w:rsid w:val="00611A7F"/>
    <w:rsid w:val="00613B39"/>
    <w:rsid w:val="00621371"/>
    <w:rsid w:val="00622BD7"/>
    <w:rsid w:val="00622E9C"/>
    <w:rsid w:val="0062383E"/>
    <w:rsid w:val="00625D96"/>
    <w:rsid w:val="006260C3"/>
    <w:rsid w:val="00630C61"/>
    <w:rsid w:val="00632204"/>
    <w:rsid w:val="006344F5"/>
    <w:rsid w:val="00640485"/>
    <w:rsid w:val="00641FEC"/>
    <w:rsid w:val="00644DCE"/>
    <w:rsid w:val="00650453"/>
    <w:rsid w:val="00651A5A"/>
    <w:rsid w:val="00652B56"/>
    <w:rsid w:val="006531F9"/>
    <w:rsid w:val="00655A56"/>
    <w:rsid w:val="00655C63"/>
    <w:rsid w:val="00656B32"/>
    <w:rsid w:val="00656BDE"/>
    <w:rsid w:val="00661F9D"/>
    <w:rsid w:val="00663C6F"/>
    <w:rsid w:val="00664A38"/>
    <w:rsid w:val="00666346"/>
    <w:rsid w:val="0067045D"/>
    <w:rsid w:val="00671259"/>
    <w:rsid w:val="00685F2C"/>
    <w:rsid w:val="006909E6"/>
    <w:rsid w:val="00692170"/>
    <w:rsid w:val="0069338B"/>
    <w:rsid w:val="00695F8C"/>
    <w:rsid w:val="00696B26"/>
    <w:rsid w:val="006B33F3"/>
    <w:rsid w:val="006B3705"/>
    <w:rsid w:val="006B6AEF"/>
    <w:rsid w:val="006C0947"/>
    <w:rsid w:val="006C48B4"/>
    <w:rsid w:val="006C4B5B"/>
    <w:rsid w:val="006D1861"/>
    <w:rsid w:val="006D22EF"/>
    <w:rsid w:val="006D44F5"/>
    <w:rsid w:val="006D45B3"/>
    <w:rsid w:val="006D594F"/>
    <w:rsid w:val="006D77A2"/>
    <w:rsid w:val="006E2777"/>
    <w:rsid w:val="006E27C5"/>
    <w:rsid w:val="006E69F9"/>
    <w:rsid w:val="006F66A5"/>
    <w:rsid w:val="00700C13"/>
    <w:rsid w:val="00700F74"/>
    <w:rsid w:val="007018C7"/>
    <w:rsid w:val="007025DB"/>
    <w:rsid w:val="00703427"/>
    <w:rsid w:val="007063CE"/>
    <w:rsid w:val="00713D41"/>
    <w:rsid w:val="00714B99"/>
    <w:rsid w:val="00714F01"/>
    <w:rsid w:val="007153A0"/>
    <w:rsid w:val="007177E6"/>
    <w:rsid w:val="007233A6"/>
    <w:rsid w:val="007237A2"/>
    <w:rsid w:val="00731142"/>
    <w:rsid w:val="00734AD6"/>
    <w:rsid w:val="00744B6A"/>
    <w:rsid w:val="00746794"/>
    <w:rsid w:val="00746F16"/>
    <w:rsid w:val="00747643"/>
    <w:rsid w:val="00747A03"/>
    <w:rsid w:val="007503FF"/>
    <w:rsid w:val="0075236B"/>
    <w:rsid w:val="00753C2C"/>
    <w:rsid w:val="00754B09"/>
    <w:rsid w:val="00755112"/>
    <w:rsid w:val="00756081"/>
    <w:rsid w:val="0075740E"/>
    <w:rsid w:val="007611D5"/>
    <w:rsid w:val="007611DF"/>
    <w:rsid w:val="0076215F"/>
    <w:rsid w:val="00762682"/>
    <w:rsid w:val="00763FD8"/>
    <w:rsid w:val="00766121"/>
    <w:rsid w:val="007667BC"/>
    <w:rsid w:val="00767999"/>
    <w:rsid w:val="00770A1E"/>
    <w:rsid w:val="0077146E"/>
    <w:rsid w:val="00771627"/>
    <w:rsid w:val="007738E8"/>
    <w:rsid w:val="00777453"/>
    <w:rsid w:val="00777476"/>
    <w:rsid w:val="00780160"/>
    <w:rsid w:val="00787888"/>
    <w:rsid w:val="00791819"/>
    <w:rsid w:val="00792366"/>
    <w:rsid w:val="00792E9F"/>
    <w:rsid w:val="007A443E"/>
    <w:rsid w:val="007B03EE"/>
    <w:rsid w:val="007B0982"/>
    <w:rsid w:val="007B457D"/>
    <w:rsid w:val="007C2C44"/>
    <w:rsid w:val="007C4785"/>
    <w:rsid w:val="007C4C81"/>
    <w:rsid w:val="007D15B5"/>
    <w:rsid w:val="007D38D4"/>
    <w:rsid w:val="007D4B2A"/>
    <w:rsid w:val="007D6D5C"/>
    <w:rsid w:val="007E3FDB"/>
    <w:rsid w:val="007E779B"/>
    <w:rsid w:val="007F095A"/>
    <w:rsid w:val="007F3112"/>
    <w:rsid w:val="00805232"/>
    <w:rsid w:val="00805509"/>
    <w:rsid w:val="00813679"/>
    <w:rsid w:val="00813D44"/>
    <w:rsid w:val="00816120"/>
    <w:rsid w:val="00817F30"/>
    <w:rsid w:val="00823BA5"/>
    <w:rsid w:val="00826544"/>
    <w:rsid w:val="00827887"/>
    <w:rsid w:val="00843ECA"/>
    <w:rsid w:val="00847D9C"/>
    <w:rsid w:val="00853E8C"/>
    <w:rsid w:val="00860CB9"/>
    <w:rsid w:val="00871E1D"/>
    <w:rsid w:val="00872D1A"/>
    <w:rsid w:val="00874C1F"/>
    <w:rsid w:val="008778FC"/>
    <w:rsid w:val="00881B7F"/>
    <w:rsid w:val="008844E8"/>
    <w:rsid w:val="008868C2"/>
    <w:rsid w:val="00886EBA"/>
    <w:rsid w:val="008874AD"/>
    <w:rsid w:val="00890852"/>
    <w:rsid w:val="00892FAF"/>
    <w:rsid w:val="00895C1D"/>
    <w:rsid w:val="0089646D"/>
    <w:rsid w:val="00896504"/>
    <w:rsid w:val="008A0877"/>
    <w:rsid w:val="008A09E9"/>
    <w:rsid w:val="008A2286"/>
    <w:rsid w:val="008A3501"/>
    <w:rsid w:val="008A4656"/>
    <w:rsid w:val="008A48BA"/>
    <w:rsid w:val="008A50D5"/>
    <w:rsid w:val="008A5640"/>
    <w:rsid w:val="008B0AE1"/>
    <w:rsid w:val="008B21DE"/>
    <w:rsid w:val="008B5AAB"/>
    <w:rsid w:val="008B5B64"/>
    <w:rsid w:val="008B7927"/>
    <w:rsid w:val="008C4755"/>
    <w:rsid w:val="008D17D0"/>
    <w:rsid w:val="008D27E7"/>
    <w:rsid w:val="008D38C6"/>
    <w:rsid w:val="008D6CA7"/>
    <w:rsid w:val="008D79F4"/>
    <w:rsid w:val="008E0197"/>
    <w:rsid w:val="008E1E74"/>
    <w:rsid w:val="008E3324"/>
    <w:rsid w:val="008F03B0"/>
    <w:rsid w:val="008F4AB0"/>
    <w:rsid w:val="008F4F8D"/>
    <w:rsid w:val="008F593B"/>
    <w:rsid w:val="008F5BD9"/>
    <w:rsid w:val="00904873"/>
    <w:rsid w:val="00914AD2"/>
    <w:rsid w:val="00914DB6"/>
    <w:rsid w:val="00916BE4"/>
    <w:rsid w:val="00920F06"/>
    <w:rsid w:val="00921A89"/>
    <w:rsid w:val="00923240"/>
    <w:rsid w:val="0092356C"/>
    <w:rsid w:val="00927854"/>
    <w:rsid w:val="009301FB"/>
    <w:rsid w:val="009319C3"/>
    <w:rsid w:val="0093287B"/>
    <w:rsid w:val="00935515"/>
    <w:rsid w:val="00937407"/>
    <w:rsid w:val="00941737"/>
    <w:rsid w:val="0094549A"/>
    <w:rsid w:val="009461E2"/>
    <w:rsid w:val="00946283"/>
    <w:rsid w:val="009512BD"/>
    <w:rsid w:val="00951FF1"/>
    <w:rsid w:val="00961A7E"/>
    <w:rsid w:val="00964FF5"/>
    <w:rsid w:val="009655D7"/>
    <w:rsid w:val="00966B3D"/>
    <w:rsid w:val="0097239A"/>
    <w:rsid w:val="00974E6D"/>
    <w:rsid w:val="00984C24"/>
    <w:rsid w:val="009850AA"/>
    <w:rsid w:val="00990386"/>
    <w:rsid w:val="009A12C0"/>
    <w:rsid w:val="009A4569"/>
    <w:rsid w:val="009A5018"/>
    <w:rsid w:val="009B1219"/>
    <w:rsid w:val="009B28FF"/>
    <w:rsid w:val="009B5A13"/>
    <w:rsid w:val="009B6DC7"/>
    <w:rsid w:val="009C0DF7"/>
    <w:rsid w:val="009C27E8"/>
    <w:rsid w:val="009C6C43"/>
    <w:rsid w:val="009C7715"/>
    <w:rsid w:val="009D01BD"/>
    <w:rsid w:val="009D0BB7"/>
    <w:rsid w:val="009D17FF"/>
    <w:rsid w:val="009D246B"/>
    <w:rsid w:val="009D299B"/>
    <w:rsid w:val="009D442E"/>
    <w:rsid w:val="009D457C"/>
    <w:rsid w:val="009D576B"/>
    <w:rsid w:val="009D7E39"/>
    <w:rsid w:val="009E2039"/>
    <w:rsid w:val="009E2AAA"/>
    <w:rsid w:val="009E411E"/>
    <w:rsid w:val="009E6ECB"/>
    <w:rsid w:val="009F203A"/>
    <w:rsid w:val="009F2C79"/>
    <w:rsid w:val="009F6FED"/>
    <w:rsid w:val="00A01D4E"/>
    <w:rsid w:val="00A030F1"/>
    <w:rsid w:val="00A03C56"/>
    <w:rsid w:val="00A04AD9"/>
    <w:rsid w:val="00A056BB"/>
    <w:rsid w:val="00A06C31"/>
    <w:rsid w:val="00A1011F"/>
    <w:rsid w:val="00A116C8"/>
    <w:rsid w:val="00A157D8"/>
    <w:rsid w:val="00A223C4"/>
    <w:rsid w:val="00A22A18"/>
    <w:rsid w:val="00A23B91"/>
    <w:rsid w:val="00A23F52"/>
    <w:rsid w:val="00A257E4"/>
    <w:rsid w:val="00A275EB"/>
    <w:rsid w:val="00A310C0"/>
    <w:rsid w:val="00A314D4"/>
    <w:rsid w:val="00A370E0"/>
    <w:rsid w:val="00A427F7"/>
    <w:rsid w:val="00A46146"/>
    <w:rsid w:val="00A47028"/>
    <w:rsid w:val="00A47382"/>
    <w:rsid w:val="00A51570"/>
    <w:rsid w:val="00A53E22"/>
    <w:rsid w:val="00A54A18"/>
    <w:rsid w:val="00A55BF0"/>
    <w:rsid w:val="00A55C76"/>
    <w:rsid w:val="00A60223"/>
    <w:rsid w:val="00A62911"/>
    <w:rsid w:val="00A63930"/>
    <w:rsid w:val="00A67DED"/>
    <w:rsid w:val="00A736C1"/>
    <w:rsid w:val="00A75FB7"/>
    <w:rsid w:val="00A81642"/>
    <w:rsid w:val="00A82DB5"/>
    <w:rsid w:val="00A84083"/>
    <w:rsid w:val="00A84A20"/>
    <w:rsid w:val="00A87787"/>
    <w:rsid w:val="00A87CC9"/>
    <w:rsid w:val="00A9052D"/>
    <w:rsid w:val="00A928D5"/>
    <w:rsid w:val="00A96F82"/>
    <w:rsid w:val="00AA2599"/>
    <w:rsid w:val="00AB00F4"/>
    <w:rsid w:val="00AB6603"/>
    <w:rsid w:val="00AC214E"/>
    <w:rsid w:val="00AC3255"/>
    <w:rsid w:val="00AC6AA1"/>
    <w:rsid w:val="00AD2DEA"/>
    <w:rsid w:val="00AD487A"/>
    <w:rsid w:val="00AE1AB8"/>
    <w:rsid w:val="00AE6A40"/>
    <w:rsid w:val="00AF5FB1"/>
    <w:rsid w:val="00AF6DFC"/>
    <w:rsid w:val="00B007FC"/>
    <w:rsid w:val="00B02565"/>
    <w:rsid w:val="00B0351C"/>
    <w:rsid w:val="00B10781"/>
    <w:rsid w:val="00B17E2E"/>
    <w:rsid w:val="00B20B4F"/>
    <w:rsid w:val="00B219C4"/>
    <w:rsid w:val="00B23681"/>
    <w:rsid w:val="00B26AB5"/>
    <w:rsid w:val="00B26FCB"/>
    <w:rsid w:val="00B27DE4"/>
    <w:rsid w:val="00B31741"/>
    <w:rsid w:val="00B33044"/>
    <w:rsid w:val="00B35BD2"/>
    <w:rsid w:val="00B4326D"/>
    <w:rsid w:val="00B44B69"/>
    <w:rsid w:val="00B44E69"/>
    <w:rsid w:val="00B501E4"/>
    <w:rsid w:val="00B533AD"/>
    <w:rsid w:val="00B64AEB"/>
    <w:rsid w:val="00B65A35"/>
    <w:rsid w:val="00B80270"/>
    <w:rsid w:val="00B81516"/>
    <w:rsid w:val="00B84570"/>
    <w:rsid w:val="00B8711F"/>
    <w:rsid w:val="00B91193"/>
    <w:rsid w:val="00B91D1A"/>
    <w:rsid w:val="00B930D4"/>
    <w:rsid w:val="00B963BA"/>
    <w:rsid w:val="00B96A83"/>
    <w:rsid w:val="00BA34BA"/>
    <w:rsid w:val="00BA3923"/>
    <w:rsid w:val="00BA49CC"/>
    <w:rsid w:val="00BA7922"/>
    <w:rsid w:val="00BB6F54"/>
    <w:rsid w:val="00BB7E3E"/>
    <w:rsid w:val="00BC3934"/>
    <w:rsid w:val="00BC6F2B"/>
    <w:rsid w:val="00BC7D81"/>
    <w:rsid w:val="00BD1492"/>
    <w:rsid w:val="00BE6623"/>
    <w:rsid w:val="00BE70F7"/>
    <w:rsid w:val="00BF7B57"/>
    <w:rsid w:val="00C02F21"/>
    <w:rsid w:val="00C03D46"/>
    <w:rsid w:val="00C06A62"/>
    <w:rsid w:val="00C07C6E"/>
    <w:rsid w:val="00C104E9"/>
    <w:rsid w:val="00C121D8"/>
    <w:rsid w:val="00C13A20"/>
    <w:rsid w:val="00C26729"/>
    <w:rsid w:val="00C27087"/>
    <w:rsid w:val="00C34A66"/>
    <w:rsid w:val="00C34E9C"/>
    <w:rsid w:val="00C41006"/>
    <w:rsid w:val="00C413DB"/>
    <w:rsid w:val="00C42EEF"/>
    <w:rsid w:val="00C4348A"/>
    <w:rsid w:val="00C46405"/>
    <w:rsid w:val="00C53A6C"/>
    <w:rsid w:val="00C5413A"/>
    <w:rsid w:val="00C55140"/>
    <w:rsid w:val="00C60DFB"/>
    <w:rsid w:val="00C6523C"/>
    <w:rsid w:val="00C721D9"/>
    <w:rsid w:val="00C73FD8"/>
    <w:rsid w:val="00C81E52"/>
    <w:rsid w:val="00C83093"/>
    <w:rsid w:val="00CA2474"/>
    <w:rsid w:val="00CA64FE"/>
    <w:rsid w:val="00CA70FA"/>
    <w:rsid w:val="00CB4EF7"/>
    <w:rsid w:val="00CC1FEB"/>
    <w:rsid w:val="00CC3A79"/>
    <w:rsid w:val="00CC6F53"/>
    <w:rsid w:val="00CD0AE4"/>
    <w:rsid w:val="00CD3FBF"/>
    <w:rsid w:val="00CD6FB7"/>
    <w:rsid w:val="00CE49A3"/>
    <w:rsid w:val="00CE52F9"/>
    <w:rsid w:val="00CF7149"/>
    <w:rsid w:val="00D00574"/>
    <w:rsid w:val="00D00DF6"/>
    <w:rsid w:val="00D0139B"/>
    <w:rsid w:val="00D0151A"/>
    <w:rsid w:val="00D1021E"/>
    <w:rsid w:val="00D1159C"/>
    <w:rsid w:val="00D128D1"/>
    <w:rsid w:val="00D13EB7"/>
    <w:rsid w:val="00D15DBB"/>
    <w:rsid w:val="00D20644"/>
    <w:rsid w:val="00D21DBD"/>
    <w:rsid w:val="00D26359"/>
    <w:rsid w:val="00D279A5"/>
    <w:rsid w:val="00D32F46"/>
    <w:rsid w:val="00D35446"/>
    <w:rsid w:val="00D3610D"/>
    <w:rsid w:val="00D36511"/>
    <w:rsid w:val="00D370DF"/>
    <w:rsid w:val="00D40785"/>
    <w:rsid w:val="00D41F9E"/>
    <w:rsid w:val="00D4465A"/>
    <w:rsid w:val="00D45AC2"/>
    <w:rsid w:val="00D47565"/>
    <w:rsid w:val="00D517AC"/>
    <w:rsid w:val="00D532E4"/>
    <w:rsid w:val="00D53C45"/>
    <w:rsid w:val="00D57179"/>
    <w:rsid w:val="00D678A7"/>
    <w:rsid w:val="00D70E49"/>
    <w:rsid w:val="00D7254B"/>
    <w:rsid w:val="00D772E8"/>
    <w:rsid w:val="00D7782A"/>
    <w:rsid w:val="00D83C02"/>
    <w:rsid w:val="00D83D33"/>
    <w:rsid w:val="00D84A31"/>
    <w:rsid w:val="00D85154"/>
    <w:rsid w:val="00D856E0"/>
    <w:rsid w:val="00D86AB4"/>
    <w:rsid w:val="00D86F05"/>
    <w:rsid w:val="00D87482"/>
    <w:rsid w:val="00D919FC"/>
    <w:rsid w:val="00D93214"/>
    <w:rsid w:val="00D96924"/>
    <w:rsid w:val="00D96F87"/>
    <w:rsid w:val="00DA0626"/>
    <w:rsid w:val="00DA0C24"/>
    <w:rsid w:val="00DA1516"/>
    <w:rsid w:val="00DA1CC3"/>
    <w:rsid w:val="00DB0000"/>
    <w:rsid w:val="00DB210A"/>
    <w:rsid w:val="00DB524A"/>
    <w:rsid w:val="00DC0924"/>
    <w:rsid w:val="00DC40B0"/>
    <w:rsid w:val="00DC5328"/>
    <w:rsid w:val="00DC6411"/>
    <w:rsid w:val="00DD04AB"/>
    <w:rsid w:val="00DD2CB9"/>
    <w:rsid w:val="00DD47BE"/>
    <w:rsid w:val="00DD7488"/>
    <w:rsid w:val="00DE57A7"/>
    <w:rsid w:val="00DE7DD6"/>
    <w:rsid w:val="00DF222F"/>
    <w:rsid w:val="00DF270D"/>
    <w:rsid w:val="00DF2E50"/>
    <w:rsid w:val="00E00EEC"/>
    <w:rsid w:val="00E02A6A"/>
    <w:rsid w:val="00E03297"/>
    <w:rsid w:val="00E03A01"/>
    <w:rsid w:val="00E04E09"/>
    <w:rsid w:val="00E1016C"/>
    <w:rsid w:val="00E124BC"/>
    <w:rsid w:val="00E14EE7"/>
    <w:rsid w:val="00E16A6A"/>
    <w:rsid w:val="00E17351"/>
    <w:rsid w:val="00E17689"/>
    <w:rsid w:val="00E25EF6"/>
    <w:rsid w:val="00E31739"/>
    <w:rsid w:val="00E3280B"/>
    <w:rsid w:val="00E333FE"/>
    <w:rsid w:val="00E359E5"/>
    <w:rsid w:val="00E44530"/>
    <w:rsid w:val="00E47B6A"/>
    <w:rsid w:val="00E52A26"/>
    <w:rsid w:val="00E5316C"/>
    <w:rsid w:val="00E56E2C"/>
    <w:rsid w:val="00E60E97"/>
    <w:rsid w:val="00E637B5"/>
    <w:rsid w:val="00E66A8B"/>
    <w:rsid w:val="00E718BF"/>
    <w:rsid w:val="00E722F3"/>
    <w:rsid w:val="00E728E3"/>
    <w:rsid w:val="00E76CD6"/>
    <w:rsid w:val="00E76CFA"/>
    <w:rsid w:val="00E77559"/>
    <w:rsid w:val="00E77C74"/>
    <w:rsid w:val="00E80C9D"/>
    <w:rsid w:val="00E82E42"/>
    <w:rsid w:val="00E82ED6"/>
    <w:rsid w:val="00E86BB8"/>
    <w:rsid w:val="00E87E6C"/>
    <w:rsid w:val="00E9096D"/>
    <w:rsid w:val="00E90F6D"/>
    <w:rsid w:val="00E92173"/>
    <w:rsid w:val="00E94896"/>
    <w:rsid w:val="00E94A61"/>
    <w:rsid w:val="00E959CD"/>
    <w:rsid w:val="00EA1A04"/>
    <w:rsid w:val="00EA2EDD"/>
    <w:rsid w:val="00EB11AC"/>
    <w:rsid w:val="00EB2238"/>
    <w:rsid w:val="00EB2F12"/>
    <w:rsid w:val="00EB4411"/>
    <w:rsid w:val="00EC1806"/>
    <w:rsid w:val="00EC3113"/>
    <w:rsid w:val="00EC351B"/>
    <w:rsid w:val="00EC75E5"/>
    <w:rsid w:val="00ED28FF"/>
    <w:rsid w:val="00ED5609"/>
    <w:rsid w:val="00ED71D2"/>
    <w:rsid w:val="00EE1D8E"/>
    <w:rsid w:val="00EE4DB7"/>
    <w:rsid w:val="00EE503D"/>
    <w:rsid w:val="00EE7636"/>
    <w:rsid w:val="00EF2986"/>
    <w:rsid w:val="00EF3713"/>
    <w:rsid w:val="00F00B7A"/>
    <w:rsid w:val="00F02A3A"/>
    <w:rsid w:val="00F04460"/>
    <w:rsid w:val="00F12860"/>
    <w:rsid w:val="00F23D24"/>
    <w:rsid w:val="00F24A70"/>
    <w:rsid w:val="00F35576"/>
    <w:rsid w:val="00F40180"/>
    <w:rsid w:val="00F42B7A"/>
    <w:rsid w:val="00F43867"/>
    <w:rsid w:val="00F50C94"/>
    <w:rsid w:val="00F539BD"/>
    <w:rsid w:val="00F57793"/>
    <w:rsid w:val="00F6094E"/>
    <w:rsid w:val="00F6124D"/>
    <w:rsid w:val="00F62124"/>
    <w:rsid w:val="00F62C40"/>
    <w:rsid w:val="00F64076"/>
    <w:rsid w:val="00F64474"/>
    <w:rsid w:val="00F66D4F"/>
    <w:rsid w:val="00F67122"/>
    <w:rsid w:val="00F67996"/>
    <w:rsid w:val="00F7525E"/>
    <w:rsid w:val="00F764D2"/>
    <w:rsid w:val="00F76BB2"/>
    <w:rsid w:val="00F77006"/>
    <w:rsid w:val="00F868A6"/>
    <w:rsid w:val="00F9130F"/>
    <w:rsid w:val="00F92390"/>
    <w:rsid w:val="00F94ED9"/>
    <w:rsid w:val="00F973DD"/>
    <w:rsid w:val="00FA1042"/>
    <w:rsid w:val="00FA4BB5"/>
    <w:rsid w:val="00FA5984"/>
    <w:rsid w:val="00FB2E7C"/>
    <w:rsid w:val="00FB3DA3"/>
    <w:rsid w:val="00FB4946"/>
    <w:rsid w:val="00FB58C5"/>
    <w:rsid w:val="00FB67C6"/>
    <w:rsid w:val="00FC3D3D"/>
    <w:rsid w:val="00FC49CF"/>
    <w:rsid w:val="00FC5389"/>
    <w:rsid w:val="00FD1464"/>
    <w:rsid w:val="00FD2163"/>
    <w:rsid w:val="00FD39FF"/>
    <w:rsid w:val="00FD4844"/>
    <w:rsid w:val="00FE15CA"/>
    <w:rsid w:val="00FE2385"/>
    <w:rsid w:val="00FE49CF"/>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uiPriority w:val="20"/>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44"/>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184</TotalTime>
  <Pages>6</Pages>
  <Words>1839</Words>
  <Characters>10488</Characters>
  <Application>Microsoft Office Word</Application>
  <DocSecurity>0</DocSecurity>
  <Lines>87</Lines>
  <Paragraphs>24</Paragraphs>
  <ScaleCrop>false</ScaleCrop>
  <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51</cp:revision>
  <dcterms:created xsi:type="dcterms:W3CDTF">2023-07-13T09:02:00Z</dcterms:created>
  <dcterms:modified xsi:type="dcterms:W3CDTF">2023-08-09T06:22:00Z</dcterms:modified>
</cp:coreProperties>
</file>